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840E" w14:textId="6987A0D6" w:rsidR="00212A53" w:rsidRDefault="00212A53" w:rsidP="00212A53">
      <w:pPr>
        <w:jc w:val="right"/>
      </w:pPr>
      <w:r>
        <w:rPr>
          <w:i/>
          <w:noProof/>
          <w:sz w:val="20"/>
        </w:rPr>
        <w:drawing>
          <wp:inline distT="0" distB="0" distL="0" distR="0" wp14:anchorId="55BE9648" wp14:editId="2C1C4633">
            <wp:extent cx="1143000" cy="1143000"/>
            <wp:effectExtent l="0" t="0" r="0" b="0"/>
            <wp:docPr id="1" name="Picture 1"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Spa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115B37A2" w14:textId="6B1C4AF1" w:rsidR="00212A53" w:rsidRPr="008B2FF0" w:rsidRDefault="00212A53" w:rsidP="008B2FF0">
      <w:pPr>
        <w:pStyle w:val="Heading1"/>
        <w:jc w:val="center"/>
        <w:rPr>
          <w:rFonts w:cstheme="majorHAnsi"/>
          <w:b/>
          <w:bCs/>
          <w:color w:val="auto"/>
          <w:sz w:val="22"/>
          <w:szCs w:val="22"/>
        </w:rPr>
      </w:pPr>
      <w:r w:rsidRPr="008B2FF0">
        <w:rPr>
          <w:rFonts w:cstheme="majorHAnsi"/>
          <w:b/>
          <w:bCs/>
          <w:color w:val="auto"/>
          <w:sz w:val="22"/>
          <w:szCs w:val="22"/>
        </w:rPr>
        <w:t>GOVERNOR APPOINTMENT PROCESS</w:t>
      </w:r>
    </w:p>
    <w:p w14:paraId="4E459BE4" w14:textId="47547617" w:rsidR="0023543F" w:rsidRDefault="00212A53" w:rsidP="0023543F">
      <w:pPr>
        <w:pStyle w:val="ListParagraph"/>
        <w:numPr>
          <w:ilvl w:val="0"/>
          <w:numId w:val="2"/>
        </w:numPr>
        <w:rPr>
          <w:b/>
          <w:bCs/>
        </w:rPr>
      </w:pPr>
      <w:r w:rsidRPr="00B82B9E">
        <w:rPr>
          <w:b/>
          <w:bCs/>
        </w:rPr>
        <w:t xml:space="preserve">Purpose </w:t>
      </w:r>
    </w:p>
    <w:p w14:paraId="0E432EFE" w14:textId="77777777" w:rsidR="0023543F" w:rsidRDefault="0023543F" w:rsidP="0023543F">
      <w:pPr>
        <w:pStyle w:val="ListParagraph"/>
        <w:rPr>
          <w:b/>
          <w:bCs/>
        </w:rPr>
      </w:pPr>
    </w:p>
    <w:p w14:paraId="02AD99EE" w14:textId="6872A656" w:rsidR="00B82B9E" w:rsidRPr="0023543F" w:rsidRDefault="00212A53" w:rsidP="0023543F">
      <w:pPr>
        <w:pStyle w:val="ListParagraph"/>
        <w:numPr>
          <w:ilvl w:val="1"/>
          <w:numId w:val="4"/>
        </w:numPr>
        <w:rPr>
          <w:b/>
          <w:bCs/>
        </w:rPr>
      </w:pPr>
      <w:r>
        <w:t xml:space="preserve">This </w:t>
      </w:r>
      <w:r w:rsidR="00EA60BE">
        <w:t>document</w:t>
      </w:r>
      <w:r>
        <w:t xml:space="preserve"> sets out </w:t>
      </w:r>
      <w:r w:rsidR="00A85764">
        <w:t xml:space="preserve">the normal process for </w:t>
      </w:r>
      <w:r>
        <w:t xml:space="preserve">how appointments to the position of governor are made at Bath Spa University. This is a publicly available document. </w:t>
      </w:r>
    </w:p>
    <w:p w14:paraId="1A888DFD" w14:textId="77777777" w:rsidR="00B82B9E" w:rsidRDefault="00B82B9E" w:rsidP="00B82B9E">
      <w:pPr>
        <w:pStyle w:val="ListParagraph"/>
      </w:pPr>
    </w:p>
    <w:p w14:paraId="2EB29383" w14:textId="426E898F" w:rsidR="00212A53" w:rsidRDefault="00212A53" w:rsidP="00B82B9E">
      <w:pPr>
        <w:pStyle w:val="ListParagraph"/>
        <w:numPr>
          <w:ilvl w:val="0"/>
          <w:numId w:val="2"/>
        </w:numPr>
        <w:rPr>
          <w:b/>
          <w:bCs/>
        </w:rPr>
      </w:pPr>
      <w:r w:rsidRPr="00B82B9E">
        <w:rPr>
          <w:b/>
          <w:bCs/>
        </w:rPr>
        <w:t xml:space="preserve">Background </w:t>
      </w:r>
    </w:p>
    <w:p w14:paraId="25A01123" w14:textId="77777777" w:rsidR="0023543F" w:rsidRPr="00B82B9E" w:rsidRDefault="0023543F" w:rsidP="0023543F">
      <w:pPr>
        <w:pStyle w:val="ListParagraph"/>
        <w:rPr>
          <w:b/>
          <w:bCs/>
        </w:rPr>
      </w:pPr>
    </w:p>
    <w:p w14:paraId="63EB9EFE" w14:textId="0A3D2FA0" w:rsidR="00212A53" w:rsidRDefault="00212A53" w:rsidP="00B82B9E">
      <w:pPr>
        <w:pStyle w:val="ListParagraph"/>
        <w:numPr>
          <w:ilvl w:val="1"/>
          <w:numId w:val="3"/>
        </w:numPr>
      </w:pPr>
      <w:r>
        <w:t xml:space="preserve">The Nolan Committee on Standards in Public Life recommends that best practice on public appointments should include the following steps in the process: </w:t>
      </w:r>
    </w:p>
    <w:p w14:paraId="556CD4A5" w14:textId="6760843C" w:rsidR="00212A53" w:rsidRDefault="00212A53" w:rsidP="00B82B9E">
      <w:pPr>
        <w:pStyle w:val="ListParagraph"/>
        <w:numPr>
          <w:ilvl w:val="1"/>
          <w:numId w:val="2"/>
        </w:numPr>
      </w:pPr>
      <w:r>
        <w:t>A publicly available written appointments process</w:t>
      </w:r>
    </w:p>
    <w:p w14:paraId="24B8ECE3" w14:textId="26E40AFD" w:rsidR="00212A53" w:rsidRDefault="00212A53" w:rsidP="00B82B9E">
      <w:pPr>
        <w:pStyle w:val="ListParagraph"/>
        <w:numPr>
          <w:ilvl w:val="1"/>
          <w:numId w:val="2"/>
        </w:numPr>
      </w:pPr>
      <w:r>
        <w:t xml:space="preserve">A </w:t>
      </w:r>
      <w:r w:rsidR="00FE43B8">
        <w:t>role</w:t>
      </w:r>
      <w:r>
        <w:t xml:space="preserve"> description and person specification </w:t>
      </w:r>
    </w:p>
    <w:p w14:paraId="5DB1A8D4" w14:textId="1586527F" w:rsidR="00212A53" w:rsidRDefault="00212A53" w:rsidP="00B82B9E">
      <w:pPr>
        <w:pStyle w:val="ListParagraph"/>
        <w:numPr>
          <w:ilvl w:val="1"/>
          <w:numId w:val="2"/>
        </w:numPr>
      </w:pPr>
      <w:r>
        <w:t>The use of advertisements and/or consultation with other interested bodies</w:t>
      </w:r>
    </w:p>
    <w:p w14:paraId="2CFCBE7B" w14:textId="5D1789A8" w:rsidR="00212A53" w:rsidRDefault="00212A53" w:rsidP="00B82B9E">
      <w:pPr>
        <w:pStyle w:val="ListParagraph"/>
        <w:numPr>
          <w:ilvl w:val="1"/>
          <w:numId w:val="2"/>
        </w:numPr>
      </w:pPr>
      <w:r>
        <w:t>The encouragement of nominations</w:t>
      </w:r>
      <w:r w:rsidR="00FE43B8">
        <w:t>,</w:t>
      </w:r>
      <w:r>
        <w:t xml:space="preserve"> including self</w:t>
      </w:r>
      <w:r w:rsidR="00FE43B8">
        <w:t>-</w:t>
      </w:r>
      <w:r>
        <w:t>nominations</w:t>
      </w:r>
    </w:p>
    <w:p w14:paraId="43840347" w14:textId="6B08E2B9" w:rsidR="00212A53" w:rsidRDefault="00212A53" w:rsidP="00B82B9E">
      <w:pPr>
        <w:pStyle w:val="ListParagraph"/>
        <w:numPr>
          <w:ilvl w:val="1"/>
          <w:numId w:val="2"/>
        </w:numPr>
      </w:pPr>
      <w:r>
        <w:t xml:space="preserve">The sifting of candidates by a </w:t>
      </w:r>
      <w:r w:rsidR="00FE43B8">
        <w:t>n</w:t>
      </w:r>
      <w:r>
        <w:t xml:space="preserve">ominations </w:t>
      </w:r>
      <w:r w:rsidR="00FE43B8">
        <w:t>c</w:t>
      </w:r>
      <w:r>
        <w:t xml:space="preserve">ommittee. </w:t>
      </w:r>
    </w:p>
    <w:p w14:paraId="1BC6B46D" w14:textId="08F371CD" w:rsidR="00212A53" w:rsidRDefault="00212A53" w:rsidP="00B82B9E">
      <w:pPr>
        <w:pStyle w:val="ListParagraph"/>
        <w:numPr>
          <w:ilvl w:val="1"/>
          <w:numId w:val="2"/>
        </w:numPr>
      </w:pPr>
      <w:r>
        <w:t>Defined terms of appointment beyond which reappointment should not be automatic</w:t>
      </w:r>
    </w:p>
    <w:p w14:paraId="7E6185FC" w14:textId="77777777" w:rsidR="0023543F" w:rsidRDefault="0023543F" w:rsidP="0023543F">
      <w:pPr>
        <w:pStyle w:val="ListParagraph"/>
        <w:ind w:left="1440"/>
      </w:pPr>
    </w:p>
    <w:p w14:paraId="67736212" w14:textId="15B2D043" w:rsidR="00212A53" w:rsidRDefault="00212A53" w:rsidP="0023543F">
      <w:pPr>
        <w:pStyle w:val="ListParagraph"/>
        <w:numPr>
          <w:ilvl w:val="1"/>
          <w:numId w:val="3"/>
        </w:numPr>
      </w:pPr>
      <w:r>
        <w:t xml:space="preserve">The above process also corresponds with </w:t>
      </w:r>
      <w:r w:rsidR="00B03708">
        <w:t>good</w:t>
      </w:r>
      <w:r>
        <w:t xml:space="preserve"> practice in relation to recruitment of trustees identified by the Charity Commission. </w:t>
      </w:r>
    </w:p>
    <w:p w14:paraId="6DCB46AE" w14:textId="77777777" w:rsidR="0023543F" w:rsidRDefault="0023543F" w:rsidP="0023543F">
      <w:pPr>
        <w:pStyle w:val="ListParagraph"/>
      </w:pPr>
    </w:p>
    <w:p w14:paraId="590EDA55" w14:textId="0CFCBB86" w:rsidR="00212A53" w:rsidRDefault="00212A53" w:rsidP="0023543F">
      <w:pPr>
        <w:pStyle w:val="ListParagraph"/>
        <w:numPr>
          <w:ilvl w:val="0"/>
          <w:numId w:val="2"/>
        </w:numPr>
        <w:rPr>
          <w:b/>
          <w:bCs/>
        </w:rPr>
      </w:pPr>
      <w:r w:rsidRPr="0023543F">
        <w:rPr>
          <w:b/>
          <w:bCs/>
        </w:rPr>
        <w:t xml:space="preserve">Membership of the </w:t>
      </w:r>
      <w:r w:rsidR="00EA60BE" w:rsidRPr="0023543F">
        <w:rPr>
          <w:b/>
          <w:bCs/>
        </w:rPr>
        <w:t>Board</w:t>
      </w:r>
      <w:r w:rsidRPr="0023543F">
        <w:rPr>
          <w:b/>
          <w:bCs/>
        </w:rPr>
        <w:t xml:space="preserve"> of Governors </w:t>
      </w:r>
    </w:p>
    <w:p w14:paraId="56B2CE28" w14:textId="77777777" w:rsidR="0023543F" w:rsidRDefault="0023543F" w:rsidP="0023543F">
      <w:pPr>
        <w:pStyle w:val="ListParagraph"/>
        <w:rPr>
          <w:b/>
          <w:bCs/>
        </w:rPr>
      </w:pPr>
    </w:p>
    <w:p w14:paraId="0A039AC0" w14:textId="2241D69D" w:rsidR="0023543F" w:rsidRDefault="00B869A8" w:rsidP="0023543F">
      <w:pPr>
        <w:pStyle w:val="ListParagraph"/>
        <w:numPr>
          <w:ilvl w:val="1"/>
          <w:numId w:val="5"/>
        </w:numPr>
      </w:pPr>
      <w:r>
        <w:t>T</w:t>
      </w:r>
      <w:r w:rsidR="00212A53">
        <w:t xml:space="preserve">he </w:t>
      </w:r>
      <w:r w:rsidR="00EA60BE">
        <w:t>Board</w:t>
      </w:r>
      <w:r w:rsidR="00212A53">
        <w:t xml:space="preserve"> of Governors is the </w:t>
      </w:r>
      <w:r w:rsidR="00FE43B8">
        <w:t xml:space="preserve">supreme </w:t>
      </w:r>
      <w:r w:rsidR="00212A53">
        <w:t xml:space="preserve">governing body of the University, responsible for the strategic direction of the University and for determining its </w:t>
      </w:r>
      <w:r w:rsidR="00FE43B8">
        <w:t>character and mission</w:t>
      </w:r>
      <w:r w:rsidR="00212A53">
        <w:t xml:space="preserve">. It currently has up to 25 members known as governors, comprising: </w:t>
      </w:r>
      <w:r w:rsidR="00FE43B8">
        <w:t>the Vice-Chancellor (ex officio); the President of the Students’ Union (ex officio); two staff governors; one student governor; and a majority of independent governors.</w:t>
      </w:r>
    </w:p>
    <w:p w14:paraId="2BD4D104" w14:textId="77777777" w:rsidR="0023543F" w:rsidRDefault="0023543F" w:rsidP="0023543F">
      <w:pPr>
        <w:pStyle w:val="ListParagraph"/>
        <w:ind w:left="360"/>
      </w:pPr>
    </w:p>
    <w:p w14:paraId="6D50FD82" w14:textId="6EC28708" w:rsidR="00B869A8" w:rsidRDefault="00212A53" w:rsidP="0023543F">
      <w:pPr>
        <w:pStyle w:val="ListParagraph"/>
        <w:numPr>
          <w:ilvl w:val="1"/>
          <w:numId w:val="5"/>
        </w:numPr>
      </w:pPr>
      <w:r>
        <w:t>All governors are charity trustees as the University is an exempt charity</w:t>
      </w:r>
      <w:r w:rsidR="00834FB6">
        <w:rPr>
          <w:rStyle w:val="FootnoteReference"/>
        </w:rPr>
        <w:footnoteReference w:id="1"/>
      </w:r>
      <w:r w:rsidR="00EA60BE">
        <w:t xml:space="preserve">. </w:t>
      </w:r>
      <w:r w:rsidR="00834FB6">
        <w:t>An exempt charity is exempt from registration with and direct regulation by the Charity Commission.</w:t>
      </w:r>
      <w:r w:rsidR="0023543F">
        <w:t xml:space="preserve"> </w:t>
      </w:r>
      <w:r w:rsidR="00834FB6">
        <w:t>The University’s principal regulator is the Office for Students.</w:t>
      </w:r>
    </w:p>
    <w:p w14:paraId="589FC501" w14:textId="77777777" w:rsidR="0023543F" w:rsidRDefault="0023543F" w:rsidP="0023543F">
      <w:pPr>
        <w:pStyle w:val="ListParagraph"/>
      </w:pPr>
    </w:p>
    <w:p w14:paraId="6E3F44D4" w14:textId="3244D2F6" w:rsidR="00212A53" w:rsidRDefault="00212A53" w:rsidP="0023543F">
      <w:pPr>
        <w:pStyle w:val="ListParagraph"/>
        <w:numPr>
          <w:ilvl w:val="1"/>
          <w:numId w:val="5"/>
        </w:numPr>
      </w:pPr>
      <w:r>
        <w:t xml:space="preserve">The </w:t>
      </w:r>
      <w:r w:rsidR="00834FB6">
        <w:t>Board</w:t>
      </w:r>
      <w:r>
        <w:t xml:space="preserve"> of Governors must agree the appointment of all members.</w:t>
      </w:r>
    </w:p>
    <w:p w14:paraId="372B1CC6" w14:textId="77777777" w:rsidR="0023543F" w:rsidRDefault="0023543F" w:rsidP="0023543F">
      <w:pPr>
        <w:pStyle w:val="ListParagraph"/>
        <w:ind w:left="360"/>
        <w:rPr>
          <w:b/>
          <w:bCs/>
        </w:rPr>
      </w:pPr>
    </w:p>
    <w:p w14:paraId="53977538" w14:textId="7F7BEB1F" w:rsidR="00B869A8" w:rsidRPr="0023543F" w:rsidRDefault="00212A53" w:rsidP="0023543F">
      <w:pPr>
        <w:pStyle w:val="ListParagraph"/>
        <w:numPr>
          <w:ilvl w:val="0"/>
          <w:numId w:val="2"/>
        </w:numPr>
        <w:rPr>
          <w:b/>
          <w:bCs/>
        </w:rPr>
      </w:pPr>
      <w:r w:rsidRPr="0023543F">
        <w:rPr>
          <w:b/>
          <w:bCs/>
        </w:rPr>
        <w:t xml:space="preserve">Timetable </w:t>
      </w:r>
    </w:p>
    <w:p w14:paraId="50E8865D" w14:textId="77777777" w:rsidR="0023543F" w:rsidRPr="00B82B9E" w:rsidRDefault="0023543F" w:rsidP="0023543F">
      <w:pPr>
        <w:pStyle w:val="ListParagraph"/>
        <w:ind w:left="360"/>
        <w:rPr>
          <w:b/>
          <w:bCs/>
        </w:rPr>
      </w:pPr>
    </w:p>
    <w:p w14:paraId="745A65E5" w14:textId="429607E7" w:rsidR="0023543F" w:rsidRDefault="00212A53" w:rsidP="0023543F">
      <w:pPr>
        <w:pStyle w:val="ListParagraph"/>
        <w:numPr>
          <w:ilvl w:val="1"/>
          <w:numId w:val="6"/>
        </w:numPr>
      </w:pPr>
      <w:r>
        <w:t xml:space="preserve">Vacancies for </w:t>
      </w:r>
      <w:r w:rsidR="00834FB6">
        <w:t>independent</w:t>
      </w:r>
      <w:r>
        <w:t xml:space="preserve"> members of the governing body are first considered by the Nominations </w:t>
      </w:r>
      <w:r w:rsidR="00575CBC">
        <w:t xml:space="preserve">and Governance </w:t>
      </w:r>
      <w:r>
        <w:t xml:space="preserve">Committee, a governor level committee </w:t>
      </w:r>
      <w:r w:rsidR="00575CBC">
        <w:t>established</w:t>
      </w:r>
      <w:r>
        <w:t xml:space="preserve"> by the </w:t>
      </w:r>
      <w:r w:rsidR="00575CBC">
        <w:lastRenderedPageBreak/>
        <w:t>Board</w:t>
      </w:r>
      <w:r>
        <w:t xml:space="preserve"> of Governors. The Nominations </w:t>
      </w:r>
      <w:r w:rsidR="00575CBC">
        <w:t xml:space="preserve">and Governance </w:t>
      </w:r>
      <w:r>
        <w:t xml:space="preserve">Committee will make recommendations to the </w:t>
      </w:r>
      <w:r w:rsidR="00575CBC">
        <w:t>Board</w:t>
      </w:r>
      <w:r>
        <w:t xml:space="preserve"> of Governors on the filling of vacancies. The membership of the Committee is as set out on the University’s website</w:t>
      </w:r>
      <w:r w:rsidR="00575CBC">
        <w:rPr>
          <w:rStyle w:val="FootnoteReference"/>
        </w:rPr>
        <w:footnoteReference w:id="2"/>
      </w:r>
      <w:r>
        <w:t xml:space="preserve">. </w:t>
      </w:r>
    </w:p>
    <w:p w14:paraId="6F8FBFE4" w14:textId="77777777" w:rsidR="0023543F" w:rsidRDefault="0023543F" w:rsidP="0023543F">
      <w:pPr>
        <w:pStyle w:val="ListParagraph"/>
        <w:ind w:left="360"/>
      </w:pPr>
    </w:p>
    <w:p w14:paraId="44BB41FB" w14:textId="65A485D8" w:rsidR="00212A53" w:rsidRDefault="00212A53" w:rsidP="0023543F">
      <w:pPr>
        <w:pStyle w:val="ListParagraph"/>
        <w:numPr>
          <w:ilvl w:val="1"/>
          <w:numId w:val="6"/>
        </w:numPr>
      </w:pPr>
      <w:r>
        <w:t xml:space="preserve">The Nominations </w:t>
      </w:r>
      <w:r w:rsidR="00EA3CFA">
        <w:t xml:space="preserve">and Governance </w:t>
      </w:r>
      <w:r>
        <w:t xml:space="preserve">Committee meets, on average, </w:t>
      </w:r>
      <w:r w:rsidR="00575CBC">
        <w:t>two</w:t>
      </w:r>
      <w:r>
        <w:t xml:space="preserve"> times each academic year</w:t>
      </w:r>
      <w:r w:rsidR="00EA3CFA">
        <w:t>,</w:t>
      </w:r>
      <w:r>
        <w:t xml:space="preserve"> </w:t>
      </w:r>
      <w:r w:rsidR="00EA3CFA">
        <w:t>usually i</w:t>
      </w:r>
      <w:r>
        <w:t>n autumn</w:t>
      </w:r>
      <w:r w:rsidR="00EA3CFA">
        <w:t xml:space="preserve"> and</w:t>
      </w:r>
      <w:r>
        <w:t xml:space="preserve"> spring</w:t>
      </w:r>
      <w:r w:rsidR="00EA3CFA">
        <w:t>,</w:t>
      </w:r>
      <w:r>
        <w:t xml:space="preserve"> to consider and make recommendations about new appointments and the reappointment of existing governors. The normal aim is for decisions to be made by the end of the summer with a view to new governors commencing their first term of office on 1 September. However, appointments may be made more swiftly or take longer in certain circumstances</w:t>
      </w:r>
      <w:r w:rsidR="00EA3CFA">
        <w:t>,</w:t>
      </w:r>
      <w:r>
        <w:t xml:space="preserve"> </w:t>
      </w:r>
      <w:r w:rsidR="00575CBC">
        <w:t xml:space="preserve">or </w:t>
      </w:r>
      <w:r>
        <w:t xml:space="preserve">where the Nominations </w:t>
      </w:r>
      <w:r w:rsidR="00575CBC">
        <w:t xml:space="preserve">and Governance </w:t>
      </w:r>
      <w:r>
        <w:t xml:space="preserve">Committee or the </w:t>
      </w:r>
      <w:r w:rsidR="00575CBC">
        <w:t xml:space="preserve">Board </w:t>
      </w:r>
      <w:r>
        <w:t xml:space="preserve">of Governors </w:t>
      </w:r>
      <w:r w:rsidR="00575CBC">
        <w:t>consider it</w:t>
      </w:r>
      <w:r>
        <w:t xml:space="preserve"> appropriate. </w:t>
      </w:r>
    </w:p>
    <w:p w14:paraId="08146FA6" w14:textId="77777777" w:rsidR="0023543F" w:rsidRDefault="0023543F" w:rsidP="0023543F">
      <w:pPr>
        <w:pStyle w:val="ListParagraph"/>
      </w:pPr>
    </w:p>
    <w:p w14:paraId="7514B450" w14:textId="4F2E10FA" w:rsidR="00B869A8" w:rsidRDefault="00212A53" w:rsidP="0023543F">
      <w:pPr>
        <w:pStyle w:val="ListParagraph"/>
        <w:numPr>
          <w:ilvl w:val="0"/>
          <w:numId w:val="2"/>
        </w:numPr>
        <w:rPr>
          <w:b/>
          <w:bCs/>
        </w:rPr>
      </w:pPr>
      <w:r w:rsidRPr="0023543F">
        <w:rPr>
          <w:b/>
          <w:bCs/>
        </w:rPr>
        <w:t>Skills</w:t>
      </w:r>
      <w:r w:rsidR="00B869A8" w:rsidRPr="0023543F">
        <w:rPr>
          <w:b/>
          <w:bCs/>
        </w:rPr>
        <w:t xml:space="preserve"> and </w:t>
      </w:r>
      <w:r w:rsidR="00EA3CFA" w:rsidRPr="0023543F">
        <w:rPr>
          <w:b/>
          <w:bCs/>
        </w:rPr>
        <w:t>Expertise</w:t>
      </w:r>
    </w:p>
    <w:p w14:paraId="354E30B2" w14:textId="77777777" w:rsidR="0023543F" w:rsidRPr="0023543F" w:rsidRDefault="0023543F" w:rsidP="0023543F">
      <w:pPr>
        <w:pStyle w:val="ListParagraph"/>
        <w:rPr>
          <w:b/>
          <w:bCs/>
        </w:rPr>
      </w:pPr>
    </w:p>
    <w:p w14:paraId="63E170E3" w14:textId="5C2F55E0" w:rsidR="00575CBC" w:rsidRDefault="00212A53" w:rsidP="0023543F">
      <w:pPr>
        <w:pStyle w:val="ListParagraph"/>
        <w:numPr>
          <w:ilvl w:val="1"/>
          <w:numId w:val="7"/>
        </w:numPr>
      </w:pPr>
      <w:r>
        <w:t xml:space="preserve">At its meetings, the Nominations </w:t>
      </w:r>
      <w:r w:rsidR="00575CBC">
        <w:t xml:space="preserve">and Governance </w:t>
      </w:r>
      <w:r>
        <w:t xml:space="preserve">Committee carries out a </w:t>
      </w:r>
      <w:r w:rsidR="00B03708">
        <w:t xml:space="preserve">review of the </w:t>
      </w:r>
      <w:r>
        <w:t>governors’ skills audit. It reflects on the shape</w:t>
      </w:r>
      <w:r w:rsidR="00575CBC">
        <w:t xml:space="preserve"> and</w:t>
      </w:r>
      <w:r>
        <w:t xml:space="preserve"> profile of the governing body in relation to experience, expertise and skills. The Committee identifies any existing skills gaps and </w:t>
      </w:r>
      <w:r w:rsidR="00EA3CFA">
        <w:t>considers</w:t>
      </w:r>
      <w:r>
        <w:t xml:space="preserve"> future gaps which are likely to arise (</w:t>
      </w:r>
      <w:r w:rsidR="00EA3CFA">
        <w:t xml:space="preserve">e.g., </w:t>
      </w:r>
      <w:r>
        <w:t>where a governor’s term of office is coming to an end)</w:t>
      </w:r>
      <w:r w:rsidR="00575CBC">
        <w:t>. The r</w:t>
      </w:r>
      <w:r>
        <w:t xml:space="preserve">ecruitment of </w:t>
      </w:r>
      <w:r w:rsidR="00575CBC">
        <w:t>independent</w:t>
      </w:r>
      <w:r>
        <w:t xml:space="preserve"> governors is based on strengthening any identified gaps in skills and expertise. </w:t>
      </w:r>
    </w:p>
    <w:p w14:paraId="383C7B2B" w14:textId="77777777" w:rsidR="0023543F" w:rsidRDefault="0023543F" w:rsidP="0023543F">
      <w:pPr>
        <w:pStyle w:val="ListParagraph"/>
        <w:ind w:left="360"/>
      </w:pPr>
    </w:p>
    <w:p w14:paraId="4CFB8683" w14:textId="544EE624" w:rsidR="00212A53" w:rsidRDefault="00B869A8" w:rsidP="0023543F">
      <w:pPr>
        <w:pStyle w:val="ListParagraph"/>
        <w:numPr>
          <w:ilvl w:val="0"/>
          <w:numId w:val="2"/>
        </w:numPr>
        <w:rPr>
          <w:b/>
          <w:bCs/>
        </w:rPr>
      </w:pPr>
      <w:r w:rsidRPr="00B82B9E">
        <w:rPr>
          <w:b/>
          <w:bCs/>
        </w:rPr>
        <w:t>Equality</w:t>
      </w:r>
      <w:r w:rsidR="00575CBC" w:rsidRPr="00B82B9E">
        <w:rPr>
          <w:b/>
          <w:bCs/>
        </w:rPr>
        <w:t>,</w:t>
      </w:r>
      <w:r w:rsidRPr="00B82B9E">
        <w:rPr>
          <w:b/>
          <w:bCs/>
        </w:rPr>
        <w:t xml:space="preserve"> Diversity </w:t>
      </w:r>
      <w:r w:rsidR="00575CBC" w:rsidRPr="00B82B9E">
        <w:rPr>
          <w:b/>
          <w:bCs/>
        </w:rPr>
        <w:t>and Inclusion</w:t>
      </w:r>
    </w:p>
    <w:p w14:paraId="71DFCE0A" w14:textId="77777777" w:rsidR="0023543F" w:rsidRPr="00B82B9E" w:rsidRDefault="0023543F" w:rsidP="0023543F">
      <w:pPr>
        <w:pStyle w:val="ListParagraph"/>
        <w:rPr>
          <w:b/>
          <w:bCs/>
        </w:rPr>
      </w:pPr>
    </w:p>
    <w:p w14:paraId="7EE4C1A9" w14:textId="5315437A" w:rsidR="00575CBC" w:rsidRDefault="00575CBC" w:rsidP="0023543F">
      <w:pPr>
        <w:pStyle w:val="ListParagraph"/>
        <w:numPr>
          <w:ilvl w:val="1"/>
          <w:numId w:val="8"/>
        </w:numPr>
      </w:pPr>
      <w:r>
        <w:t xml:space="preserve">In considering the profile of the governing body and any future recruitment the Nominations and Governance Committee will </w:t>
      </w:r>
      <w:r w:rsidR="008E27DC">
        <w:t>follow</w:t>
      </w:r>
      <w:r>
        <w:t xml:space="preserve"> the University’s Equal</w:t>
      </w:r>
      <w:r w:rsidR="00D204EB">
        <w:t xml:space="preserve">ity </w:t>
      </w:r>
      <w:r>
        <w:t>Policy</w:t>
      </w:r>
      <w:r w:rsidR="00D204EB">
        <w:rPr>
          <w:rStyle w:val="FootnoteReference"/>
        </w:rPr>
        <w:footnoteReference w:id="3"/>
      </w:r>
      <w:r>
        <w:t xml:space="preserve"> </w:t>
      </w:r>
      <w:r w:rsidR="00D204EB">
        <w:t>and any agreed equality objectives</w:t>
      </w:r>
      <w:r>
        <w:t>. The Committee will seek to promote</w:t>
      </w:r>
      <w:r w:rsidR="008E27DC">
        <w:t xml:space="preserve"> diversity in all of its forms</w:t>
      </w:r>
      <w:r>
        <w:t xml:space="preserve"> in its nominations and appointments. The Committee will also have an awareness of the </w:t>
      </w:r>
      <w:r w:rsidR="00B03708">
        <w:t xml:space="preserve">University’s overall </w:t>
      </w:r>
      <w:r w:rsidR="008E27DC">
        <w:t xml:space="preserve">current and future </w:t>
      </w:r>
      <w:r>
        <w:t>student and staff profile in making its recommendations.</w:t>
      </w:r>
      <w:r w:rsidR="00144E96">
        <w:t xml:space="preserve"> C</w:t>
      </w:r>
      <w:r w:rsidR="00D204EB">
        <w:t xml:space="preserve">andidates </w:t>
      </w:r>
      <w:r w:rsidR="00B03708">
        <w:t>will normally</w:t>
      </w:r>
      <w:r w:rsidR="00144E96">
        <w:t xml:space="preserve"> be </w:t>
      </w:r>
      <w:r w:rsidR="00B03708">
        <w:t>invited</w:t>
      </w:r>
      <w:r>
        <w:t xml:space="preserve"> to complete an equal</w:t>
      </w:r>
      <w:r w:rsidR="00B03708">
        <w:t>ity</w:t>
      </w:r>
      <w:r>
        <w:t xml:space="preserve"> monitoring form</w:t>
      </w:r>
      <w:r w:rsidR="00144E96">
        <w:t>.</w:t>
      </w:r>
    </w:p>
    <w:p w14:paraId="694B24D1" w14:textId="77777777" w:rsidR="0023543F" w:rsidRDefault="0023543F" w:rsidP="0023543F">
      <w:pPr>
        <w:pStyle w:val="ListParagraph"/>
      </w:pPr>
    </w:p>
    <w:p w14:paraId="77FDB646" w14:textId="77777777" w:rsidR="00B869A8" w:rsidRPr="00B82B9E" w:rsidRDefault="00212A53" w:rsidP="0023543F">
      <w:pPr>
        <w:pStyle w:val="ListParagraph"/>
        <w:numPr>
          <w:ilvl w:val="0"/>
          <w:numId w:val="2"/>
        </w:numPr>
        <w:rPr>
          <w:b/>
          <w:bCs/>
        </w:rPr>
      </w:pPr>
      <w:r w:rsidRPr="00B82B9E">
        <w:rPr>
          <w:b/>
          <w:bCs/>
        </w:rPr>
        <w:t xml:space="preserve">Governor Role Description </w:t>
      </w:r>
    </w:p>
    <w:p w14:paraId="10102FFB" w14:textId="77777777" w:rsidR="0023543F" w:rsidRDefault="0023543F" w:rsidP="0023543F">
      <w:pPr>
        <w:pStyle w:val="ListParagraph"/>
      </w:pPr>
    </w:p>
    <w:p w14:paraId="06DED359" w14:textId="32D42332" w:rsidR="00212A53" w:rsidRDefault="00212A53" w:rsidP="0023543F">
      <w:pPr>
        <w:pStyle w:val="ListParagraph"/>
        <w:numPr>
          <w:ilvl w:val="1"/>
          <w:numId w:val="9"/>
        </w:numPr>
      </w:pPr>
      <w:r>
        <w:t xml:space="preserve">A governor role description, incorporating a person specification, is </w:t>
      </w:r>
      <w:r w:rsidR="00D204EB">
        <w:t>available in respect of all board vacancies</w:t>
      </w:r>
      <w:r>
        <w:t xml:space="preserve">. The standard role description is </w:t>
      </w:r>
      <w:r w:rsidR="00CB0872">
        <w:t xml:space="preserve">kept under review and </w:t>
      </w:r>
      <w:r>
        <w:t xml:space="preserve">applicable to any governor appointment; however, where a vacancy requires particular expertise, an additional provision in relation to that expertise may be added to the role description if necessary. </w:t>
      </w:r>
    </w:p>
    <w:p w14:paraId="36837659" w14:textId="77777777" w:rsidR="0023543F" w:rsidRDefault="0023543F" w:rsidP="0023543F">
      <w:pPr>
        <w:pStyle w:val="ListParagraph"/>
      </w:pPr>
    </w:p>
    <w:p w14:paraId="5F18E6A0" w14:textId="2D5858CA" w:rsidR="00B869A8" w:rsidRDefault="00212A53" w:rsidP="0023543F">
      <w:pPr>
        <w:pStyle w:val="ListParagraph"/>
        <w:numPr>
          <w:ilvl w:val="0"/>
          <w:numId w:val="2"/>
        </w:numPr>
        <w:rPr>
          <w:b/>
          <w:bCs/>
        </w:rPr>
      </w:pPr>
      <w:r w:rsidRPr="00B82B9E">
        <w:rPr>
          <w:b/>
          <w:bCs/>
        </w:rPr>
        <w:t>Recruitment Methods (</w:t>
      </w:r>
      <w:r w:rsidR="00B869A8" w:rsidRPr="00B82B9E">
        <w:rPr>
          <w:b/>
          <w:bCs/>
        </w:rPr>
        <w:t xml:space="preserve">Independent </w:t>
      </w:r>
      <w:r w:rsidRPr="00B82B9E">
        <w:rPr>
          <w:b/>
          <w:bCs/>
        </w:rPr>
        <w:t xml:space="preserve">Governors) </w:t>
      </w:r>
    </w:p>
    <w:p w14:paraId="31531653" w14:textId="77777777" w:rsidR="0023543F" w:rsidRPr="00B82B9E" w:rsidRDefault="0023543F" w:rsidP="0023543F">
      <w:pPr>
        <w:pStyle w:val="ListParagraph"/>
        <w:rPr>
          <w:b/>
          <w:bCs/>
        </w:rPr>
      </w:pPr>
    </w:p>
    <w:p w14:paraId="4E69D317" w14:textId="5B8C38EE" w:rsidR="00B869A8" w:rsidRDefault="00212A53" w:rsidP="0023543F">
      <w:pPr>
        <w:pStyle w:val="ListParagraph"/>
        <w:numPr>
          <w:ilvl w:val="1"/>
          <w:numId w:val="10"/>
        </w:numPr>
      </w:pPr>
      <w:r>
        <w:t>The University encourag</w:t>
      </w:r>
      <w:r w:rsidR="00CB0872">
        <w:t>es</w:t>
      </w:r>
      <w:r>
        <w:t xml:space="preserve"> self-nomination from prospective external candidates. Alongside this the University publishes links to useful information for prospective candidates including the history of the University</w:t>
      </w:r>
      <w:r w:rsidR="000D265B">
        <w:rPr>
          <w:rStyle w:val="FootnoteReference"/>
        </w:rPr>
        <w:footnoteReference w:id="4"/>
      </w:r>
      <w:r>
        <w:t xml:space="preserve">, the University’s financial </w:t>
      </w:r>
      <w:r>
        <w:lastRenderedPageBreak/>
        <w:t>statements</w:t>
      </w:r>
      <w:r w:rsidR="00427A63">
        <w:rPr>
          <w:rStyle w:val="FootnoteReference"/>
        </w:rPr>
        <w:footnoteReference w:id="5"/>
      </w:r>
      <w:r>
        <w:t xml:space="preserve">, the Charity Commission’s Guidance Note: “The Essential Trustee”, and guidance on eligibility to act as a trustee. </w:t>
      </w:r>
    </w:p>
    <w:p w14:paraId="2D70E6F1" w14:textId="77777777" w:rsidR="0023543F" w:rsidRDefault="0023543F" w:rsidP="0023543F">
      <w:pPr>
        <w:pStyle w:val="ListParagraph"/>
      </w:pPr>
    </w:p>
    <w:p w14:paraId="36D0EA9E" w14:textId="4C9A69E3" w:rsidR="0023543F" w:rsidRDefault="00212A53" w:rsidP="0023543F">
      <w:pPr>
        <w:pStyle w:val="ListParagraph"/>
        <w:numPr>
          <w:ilvl w:val="1"/>
          <w:numId w:val="10"/>
        </w:numPr>
      </w:pPr>
      <w:r>
        <w:t xml:space="preserve">The University may also advertise governor vacancies in the local or national press, or on relevant external websites, where this is deemed to be beneficial (for example, where seeking a particular background or a high number of applicants). External search agencies may be used </w:t>
      </w:r>
      <w:r w:rsidR="00875677">
        <w:t>where required</w:t>
      </w:r>
      <w:r w:rsidR="00B03708">
        <w:t>.</w:t>
      </w:r>
      <w:r>
        <w:t xml:space="preserve"> </w:t>
      </w:r>
    </w:p>
    <w:p w14:paraId="4A2C8803" w14:textId="77777777" w:rsidR="0023543F" w:rsidRDefault="0023543F" w:rsidP="0023543F">
      <w:pPr>
        <w:pStyle w:val="ListParagraph"/>
      </w:pPr>
    </w:p>
    <w:p w14:paraId="6FF87BB0" w14:textId="7FB9427C" w:rsidR="00212A53" w:rsidRDefault="00212A53" w:rsidP="0023543F">
      <w:pPr>
        <w:pStyle w:val="ListParagraph"/>
        <w:numPr>
          <w:ilvl w:val="1"/>
          <w:numId w:val="10"/>
        </w:numPr>
      </w:pPr>
      <w:r>
        <w:t xml:space="preserve">In addition, as part of its search for suitable candidates, the Nominations </w:t>
      </w:r>
      <w:r w:rsidR="00875677">
        <w:t xml:space="preserve">and Governance </w:t>
      </w:r>
      <w:r>
        <w:t xml:space="preserve">Committee makes use of existing contacts: the University’s senior </w:t>
      </w:r>
      <w:r w:rsidR="00F06725">
        <w:t>staff</w:t>
      </w:r>
      <w:r w:rsidR="00875677">
        <w:t xml:space="preserve"> </w:t>
      </w:r>
      <w:r>
        <w:t xml:space="preserve">and its existing governors </w:t>
      </w:r>
      <w:r w:rsidR="00B03708">
        <w:t>may be</w:t>
      </w:r>
      <w:r>
        <w:t xml:space="preserve"> asked to recommend potential candidates, where relevant. </w:t>
      </w:r>
      <w:r w:rsidR="00875677">
        <w:t>The University’s a</w:t>
      </w:r>
      <w:r>
        <w:t xml:space="preserve">lumni </w:t>
      </w:r>
      <w:r w:rsidR="00875677">
        <w:t>n</w:t>
      </w:r>
      <w:r>
        <w:t xml:space="preserve">etworks may also be used in seeking nominations. </w:t>
      </w:r>
    </w:p>
    <w:p w14:paraId="6FE44BC8" w14:textId="77777777" w:rsidR="0023543F" w:rsidRDefault="0023543F" w:rsidP="0023543F">
      <w:pPr>
        <w:pStyle w:val="ListParagraph"/>
      </w:pPr>
    </w:p>
    <w:p w14:paraId="16ED3AD3" w14:textId="5081DB76" w:rsidR="00B869A8" w:rsidRDefault="00212A53" w:rsidP="0023543F">
      <w:pPr>
        <w:pStyle w:val="ListParagraph"/>
        <w:numPr>
          <w:ilvl w:val="0"/>
          <w:numId w:val="2"/>
        </w:numPr>
        <w:rPr>
          <w:b/>
          <w:bCs/>
        </w:rPr>
      </w:pPr>
      <w:r w:rsidRPr="0023543F">
        <w:rPr>
          <w:b/>
          <w:bCs/>
        </w:rPr>
        <w:t>Process for Considering Potential Candidates (</w:t>
      </w:r>
      <w:r w:rsidR="00B869A8" w:rsidRPr="0023543F">
        <w:rPr>
          <w:b/>
          <w:bCs/>
        </w:rPr>
        <w:t>Independent</w:t>
      </w:r>
      <w:r w:rsidRPr="0023543F">
        <w:rPr>
          <w:b/>
          <w:bCs/>
        </w:rPr>
        <w:t xml:space="preserve"> Governors) </w:t>
      </w:r>
    </w:p>
    <w:p w14:paraId="20CD1FF3" w14:textId="77777777" w:rsidR="0023543F" w:rsidRPr="0023543F" w:rsidRDefault="0023543F" w:rsidP="0023543F">
      <w:pPr>
        <w:pStyle w:val="ListParagraph"/>
        <w:rPr>
          <w:b/>
          <w:bCs/>
        </w:rPr>
      </w:pPr>
    </w:p>
    <w:p w14:paraId="0DCE7BE7" w14:textId="3D9AEDB6" w:rsidR="00B869A8" w:rsidRDefault="00212A53" w:rsidP="0023543F">
      <w:pPr>
        <w:pStyle w:val="ListParagraph"/>
        <w:numPr>
          <w:ilvl w:val="1"/>
          <w:numId w:val="11"/>
        </w:numPr>
      </w:pPr>
      <w:r>
        <w:t>Following the advertisement of a vacancy, the Nominations</w:t>
      </w:r>
      <w:r w:rsidR="00875677">
        <w:t xml:space="preserve"> and Governance</w:t>
      </w:r>
      <w:r>
        <w:t xml:space="preserve"> Committee</w:t>
      </w:r>
      <w:r w:rsidR="006F2737">
        <w:t xml:space="preserve"> (or a sub-group thereof)</w:t>
      </w:r>
      <w:r>
        <w:t xml:space="preserve"> considers the resulting list of candidates </w:t>
      </w:r>
      <w:r w:rsidR="00CB0872">
        <w:t>at a</w:t>
      </w:r>
      <w:r>
        <w:t xml:space="preserve"> meeting. The Committee reviews the profile of each candidate and decides whether any candidate should be interviewed. This decision is based on the relevant skills and </w:t>
      </w:r>
      <w:r w:rsidR="00CB0872">
        <w:t>experience</w:t>
      </w:r>
      <w:r>
        <w:t xml:space="preserve"> of each candidate and how the</w:t>
      </w:r>
      <w:r w:rsidR="00CB0872">
        <w:t xml:space="preserve">y </w:t>
      </w:r>
      <w:r>
        <w:t xml:space="preserve">meet the requirements of the </w:t>
      </w:r>
      <w:r w:rsidR="00CB0872">
        <w:t>role</w:t>
      </w:r>
      <w:r>
        <w:t xml:space="preserve">. The Committee will also consider how best to </w:t>
      </w:r>
      <w:r w:rsidR="00CB0872">
        <w:t>promote</w:t>
      </w:r>
      <w:r>
        <w:t xml:space="preserve"> </w:t>
      </w:r>
      <w:r w:rsidR="00B03708">
        <w:t>equality, diversity and inclusion</w:t>
      </w:r>
      <w:r>
        <w:t xml:space="preserve"> when it makes this decision. The Committee may decide that a candidate has a strong CV/profile but that their particular specialism is not required at that time: in this case the candidate’s details may be retained </w:t>
      </w:r>
      <w:r w:rsidR="00875677">
        <w:t xml:space="preserve">(with their consent) </w:t>
      </w:r>
      <w:r>
        <w:t xml:space="preserve">for future consideration. </w:t>
      </w:r>
    </w:p>
    <w:p w14:paraId="1CA94AF6" w14:textId="77777777" w:rsidR="0023543F" w:rsidRDefault="0023543F" w:rsidP="0023543F">
      <w:pPr>
        <w:pStyle w:val="ListParagraph"/>
      </w:pPr>
    </w:p>
    <w:p w14:paraId="299C9ED2" w14:textId="1385B20E" w:rsidR="00875677" w:rsidRDefault="00212A53" w:rsidP="0023543F">
      <w:pPr>
        <w:pStyle w:val="ListParagraph"/>
        <w:numPr>
          <w:ilvl w:val="1"/>
          <w:numId w:val="11"/>
        </w:numPr>
      </w:pPr>
      <w:r>
        <w:t xml:space="preserve">Shortlisted candidates are invited to attend an interview with a panel </w:t>
      </w:r>
      <w:r w:rsidR="00875677">
        <w:t xml:space="preserve">drawn from </w:t>
      </w:r>
      <w:r w:rsidR="00B03708">
        <w:t>among t</w:t>
      </w:r>
      <w:r w:rsidR="00875677">
        <w:t>he</w:t>
      </w:r>
      <w:r>
        <w:t xml:space="preserve"> members</w:t>
      </w:r>
      <w:r w:rsidR="00875677">
        <w:t>hip</w:t>
      </w:r>
      <w:r>
        <w:t xml:space="preserve"> of the Nominations </w:t>
      </w:r>
      <w:r w:rsidR="00875677">
        <w:t xml:space="preserve">and Governance </w:t>
      </w:r>
      <w:r>
        <w:t>Committee. Other governors may be invited to join the panel if required (</w:t>
      </w:r>
      <w:r w:rsidR="00875677">
        <w:t>e.g.,</w:t>
      </w:r>
      <w:r>
        <w:t xml:space="preserve"> a Chair of a committee which the new governor is likely to sit on). At this interview</w:t>
      </w:r>
      <w:r w:rsidR="006F2737">
        <w:t>,</w:t>
      </w:r>
      <w:r>
        <w:t xml:space="preserve"> candidates </w:t>
      </w:r>
      <w:r w:rsidR="00CB0872">
        <w:t xml:space="preserve">will be invited to respond to questions about their interest </w:t>
      </w:r>
      <w:r w:rsidR="00725705">
        <w:t>in the role and their</w:t>
      </w:r>
      <w:r w:rsidR="00CB0872">
        <w:t xml:space="preserve"> suitability for the role; they are also </w:t>
      </w:r>
      <w:r w:rsidR="00725705">
        <w:t>provided with an opportunity to ask questions about the role.</w:t>
      </w:r>
    </w:p>
    <w:p w14:paraId="2F3BB554" w14:textId="77777777" w:rsidR="0023543F" w:rsidRDefault="0023543F" w:rsidP="0023543F">
      <w:pPr>
        <w:pStyle w:val="ListParagraph"/>
      </w:pPr>
    </w:p>
    <w:p w14:paraId="77F6658B" w14:textId="0042AED4" w:rsidR="00212A53" w:rsidRDefault="00212A53" w:rsidP="0023543F">
      <w:pPr>
        <w:pStyle w:val="ListParagraph"/>
        <w:numPr>
          <w:ilvl w:val="1"/>
          <w:numId w:val="11"/>
        </w:numPr>
      </w:pPr>
      <w:r>
        <w:t>Following interviews</w:t>
      </w:r>
      <w:r w:rsidR="006F2737">
        <w:t>,</w:t>
      </w:r>
      <w:r>
        <w:t xml:space="preserve"> the panel will make a decision about its preferred candidate(s).</w:t>
      </w:r>
      <w:r w:rsidR="00875677">
        <w:t xml:space="preserve"> </w:t>
      </w:r>
      <w:r>
        <w:t xml:space="preserve">Unsuccessful applicants are notified in writing as soon as is practicable (as is also the case for those applicants not selected for an interview). In the case of successful candidates, the </w:t>
      </w:r>
      <w:r w:rsidR="00725705">
        <w:t xml:space="preserve">panel convened on behalf of the </w:t>
      </w:r>
      <w:r>
        <w:t xml:space="preserve">Nominations </w:t>
      </w:r>
      <w:r w:rsidR="00875677">
        <w:t xml:space="preserve">and Governance </w:t>
      </w:r>
      <w:r>
        <w:t xml:space="preserve">Committee makes a recommendation of appointment to the </w:t>
      </w:r>
      <w:r w:rsidR="00875677">
        <w:t>Board</w:t>
      </w:r>
      <w:r>
        <w:t xml:space="preserve"> of Governors. </w:t>
      </w:r>
    </w:p>
    <w:p w14:paraId="55D67EB6" w14:textId="77777777" w:rsidR="0023543F" w:rsidRDefault="0023543F" w:rsidP="0023543F">
      <w:pPr>
        <w:pStyle w:val="ListParagraph"/>
      </w:pPr>
    </w:p>
    <w:p w14:paraId="29F699B6" w14:textId="5CF7213E" w:rsidR="00B869A8" w:rsidRPr="0023543F" w:rsidRDefault="00212A53" w:rsidP="0023543F">
      <w:pPr>
        <w:pStyle w:val="ListParagraph"/>
        <w:numPr>
          <w:ilvl w:val="0"/>
          <w:numId w:val="2"/>
        </w:numPr>
        <w:rPr>
          <w:b/>
          <w:bCs/>
        </w:rPr>
      </w:pPr>
      <w:r w:rsidRPr="0023543F">
        <w:rPr>
          <w:b/>
          <w:bCs/>
        </w:rPr>
        <w:t xml:space="preserve">Process for Appointment of the Student Governor and Staff Governors </w:t>
      </w:r>
    </w:p>
    <w:p w14:paraId="458EA4B6" w14:textId="77777777" w:rsidR="005E5A11" w:rsidRPr="0023543F" w:rsidRDefault="005E5A11" w:rsidP="0023543F">
      <w:pPr>
        <w:ind w:left="360"/>
        <w:rPr>
          <w:i/>
          <w:iCs/>
        </w:rPr>
      </w:pPr>
      <w:r w:rsidRPr="0023543F">
        <w:rPr>
          <w:i/>
          <w:iCs/>
        </w:rPr>
        <w:t>Student Governor</w:t>
      </w:r>
    </w:p>
    <w:p w14:paraId="056C09AB" w14:textId="532EBD31" w:rsidR="00472ABF" w:rsidRDefault="00725705" w:rsidP="0023543F">
      <w:pPr>
        <w:pStyle w:val="ListParagraph"/>
        <w:numPr>
          <w:ilvl w:val="1"/>
          <w:numId w:val="12"/>
        </w:numPr>
      </w:pPr>
      <w:r>
        <w:t>In addition to the President of the Students’ Union who is an ex officio governor, t</w:t>
      </w:r>
      <w:r w:rsidR="00212A53">
        <w:t xml:space="preserve">he </w:t>
      </w:r>
      <w:r w:rsidR="00875677">
        <w:t>Board</w:t>
      </w:r>
      <w:r w:rsidR="00212A53">
        <w:t xml:space="preserve"> of Governors appoints one student governor</w:t>
      </w:r>
      <w:r>
        <w:t xml:space="preserve"> normally for a term of one year</w:t>
      </w:r>
      <w:r w:rsidR="005E5A11">
        <w:t xml:space="preserve">, </w:t>
      </w:r>
      <w:r w:rsidR="005E5A11" w:rsidRPr="00DC0F31">
        <w:t xml:space="preserve">nominated </w:t>
      </w:r>
      <w:r w:rsidR="00472ABF" w:rsidRPr="00DC0F31">
        <w:t>by the Students’ Union</w:t>
      </w:r>
      <w:r w:rsidR="00212A53" w:rsidRPr="00DC0F31">
        <w:t>.</w:t>
      </w:r>
      <w:r w:rsidR="00472ABF" w:rsidRPr="00DC0F31">
        <w:t xml:space="preserve"> </w:t>
      </w:r>
      <w:r w:rsidR="005E5A11" w:rsidRPr="00DC0F31">
        <w:t>T</w:t>
      </w:r>
      <w:r w:rsidR="00472ABF" w:rsidRPr="00DC0F31">
        <w:t xml:space="preserve">he Students’ Union is responsible </w:t>
      </w:r>
      <w:r w:rsidR="00472ABF" w:rsidRPr="00DC0F31">
        <w:lastRenderedPageBreak/>
        <w:t xml:space="preserve">for </w:t>
      </w:r>
      <w:r w:rsidR="008060FF" w:rsidRPr="00DC0F31">
        <w:t>promoting the vacancy to all</w:t>
      </w:r>
      <w:r w:rsidR="008060FF">
        <w:t xml:space="preserve"> students</w:t>
      </w:r>
      <w:r w:rsidR="00181A78">
        <w:t xml:space="preserve"> </w:t>
      </w:r>
      <w:r w:rsidR="005E5A11">
        <w:t xml:space="preserve">(undergraduate and postgraduate) </w:t>
      </w:r>
      <w:r w:rsidR="00181A78">
        <w:t>at the University</w:t>
      </w:r>
      <w:r w:rsidR="008060FF">
        <w:t xml:space="preserve">, receiving applications, and shortlisting candidates for </w:t>
      </w:r>
      <w:r w:rsidR="005E5A11">
        <w:t xml:space="preserve">interview </w:t>
      </w:r>
      <w:r w:rsidR="00CD3D34">
        <w:t xml:space="preserve">with </w:t>
      </w:r>
      <w:r w:rsidR="005E5A11">
        <w:t>at least one member of the Nominations and Governance Committee</w:t>
      </w:r>
      <w:r w:rsidR="001E4177">
        <w:t xml:space="preserve"> (nominated </w:t>
      </w:r>
      <w:r w:rsidR="005E5A11">
        <w:t>by the C</w:t>
      </w:r>
      <w:r w:rsidR="001E4177">
        <w:t>ommittee C</w:t>
      </w:r>
      <w:r w:rsidR="005E5A11">
        <w:t>hair</w:t>
      </w:r>
      <w:r w:rsidR="001E4177">
        <w:t>)</w:t>
      </w:r>
      <w:r w:rsidR="00CD3D34">
        <w:t xml:space="preserve"> who then proposes a nomination for appointment to the Board of Governors.</w:t>
      </w:r>
      <w:r w:rsidR="00181A78">
        <w:t xml:space="preserve">  A role description outlining the responsibilities of the role and time commitment is provided by the </w:t>
      </w:r>
      <w:r w:rsidR="00F06725">
        <w:t>University Secretary (or their nominee)</w:t>
      </w:r>
      <w:r w:rsidR="00181A78">
        <w:t>.</w:t>
      </w:r>
    </w:p>
    <w:p w14:paraId="46AD2BBC" w14:textId="77777777" w:rsidR="0023543F" w:rsidRDefault="0023543F" w:rsidP="0023543F">
      <w:pPr>
        <w:pStyle w:val="ListParagraph"/>
        <w:ind w:left="780"/>
      </w:pPr>
    </w:p>
    <w:p w14:paraId="64A38273" w14:textId="77777777" w:rsidR="005E5A11" w:rsidRPr="00144E96" w:rsidRDefault="005E5A11" w:rsidP="00144E96">
      <w:pPr>
        <w:rPr>
          <w:i/>
          <w:iCs/>
        </w:rPr>
      </w:pPr>
      <w:r w:rsidRPr="00144E96">
        <w:rPr>
          <w:i/>
          <w:iCs/>
        </w:rPr>
        <w:t>Staff Governor (Academic)</w:t>
      </w:r>
    </w:p>
    <w:p w14:paraId="5C78E5C1" w14:textId="4DE01906" w:rsidR="00937796" w:rsidRDefault="001E4177" w:rsidP="00144E96">
      <w:pPr>
        <w:pStyle w:val="ListParagraph"/>
        <w:numPr>
          <w:ilvl w:val="1"/>
          <w:numId w:val="12"/>
        </w:numPr>
      </w:pPr>
      <w:r>
        <w:t xml:space="preserve">On behalf of the staff of the University, the </w:t>
      </w:r>
      <w:r w:rsidR="00212A53">
        <w:t xml:space="preserve">Academic Board will nominate a </w:t>
      </w:r>
      <w:r w:rsidR="00CD3D34">
        <w:t xml:space="preserve">staff </w:t>
      </w:r>
      <w:r w:rsidR="00212A53">
        <w:t>governor</w:t>
      </w:r>
      <w:r w:rsidR="00CD3D34">
        <w:t xml:space="preserve"> (academic) </w:t>
      </w:r>
      <w:r w:rsidR="00212A53">
        <w:t xml:space="preserve">for a three-year term, subject to the approval of the </w:t>
      </w:r>
      <w:r w:rsidR="00937796">
        <w:t>Board</w:t>
      </w:r>
      <w:r w:rsidR="00212A53">
        <w:t xml:space="preserve"> of Governors. </w:t>
      </w:r>
      <w:r w:rsidR="005E5A11">
        <w:t xml:space="preserve">The Secretary to </w:t>
      </w:r>
      <w:r>
        <w:t xml:space="preserve">the </w:t>
      </w:r>
      <w:r w:rsidR="008060FF">
        <w:t>Academic Board</w:t>
      </w:r>
      <w:r w:rsidR="005E5A11">
        <w:t xml:space="preserve"> </w:t>
      </w:r>
      <w:r w:rsidR="008060FF">
        <w:t xml:space="preserve">is responsible for promoting the vacancy to </w:t>
      </w:r>
      <w:r w:rsidR="00181A78">
        <w:t xml:space="preserve">members of </w:t>
      </w:r>
      <w:r>
        <w:t xml:space="preserve">the </w:t>
      </w:r>
      <w:r w:rsidR="00181A78">
        <w:t>Academic Board</w:t>
      </w:r>
      <w:r w:rsidR="00ED737B">
        <w:t xml:space="preserve"> </w:t>
      </w:r>
      <w:bookmarkStart w:id="0" w:name="_Hlk113998704"/>
      <w:r>
        <w:t>and for</w:t>
      </w:r>
      <w:r w:rsidR="00ED737B">
        <w:t xml:space="preserve"> </w:t>
      </w:r>
      <w:r>
        <w:t>pr</w:t>
      </w:r>
      <w:r w:rsidR="00A85764">
        <w:t>esenting</w:t>
      </w:r>
      <w:r>
        <w:t xml:space="preserve"> the nominated candidate to the </w:t>
      </w:r>
      <w:r w:rsidR="00ED737B">
        <w:t>Board of Governors.</w:t>
      </w:r>
      <w:bookmarkEnd w:id="0"/>
    </w:p>
    <w:p w14:paraId="07F95C05" w14:textId="77777777" w:rsidR="00144E96" w:rsidRDefault="00144E96" w:rsidP="00144E96">
      <w:pPr>
        <w:pStyle w:val="ListParagraph"/>
        <w:ind w:left="780"/>
      </w:pPr>
    </w:p>
    <w:p w14:paraId="2C882872" w14:textId="767D9CFB" w:rsidR="005E5A11" w:rsidRDefault="005E5A11" w:rsidP="00144E96">
      <w:pPr>
        <w:pStyle w:val="ListParagraph"/>
        <w:ind w:left="420"/>
        <w:rPr>
          <w:i/>
          <w:iCs/>
        </w:rPr>
      </w:pPr>
      <w:r w:rsidRPr="00B82B9E">
        <w:rPr>
          <w:i/>
          <w:iCs/>
        </w:rPr>
        <w:t>Staff Governor (Professional Services)</w:t>
      </w:r>
    </w:p>
    <w:p w14:paraId="4BFC341B" w14:textId="77777777" w:rsidR="00144E96" w:rsidRPr="00B82B9E" w:rsidRDefault="00144E96" w:rsidP="00144E96">
      <w:pPr>
        <w:pStyle w:val="ListParagraph"/>
        <w:ind w:left="420"/>
        <w:rPr>
          <w:i/>
          <w:iCs/>
        </w:rPr>
      </w:pPr>
    </w:p>
    <w:p w14:paraId="44988AB2" w14:textId="2567D171" w:rsidR="00ED737B" w:rsidRDefault="00CD3D34" w:rsidP="00144E96">
      <w:pPr>
        <w:pStyle w:val="ListParagraph"/>
        <w:numPr>
          <w:ilvl w:val="1"/>
          <w:numId w:val="12"/>
        </w:numPr>
      </w:pPr>
      <w:r>
        <w:t>Where a va</w:t>
      </w:r>
      <w:r w:rsidR="00ED737B">
        <w:t xml:space="preserve">cancy for a staff governor (professional services) arises, the University Secretary (or their nominee) is responsible for promoting the role </w:t>
      </w:r>
      <w:r w:rsidR="00CF6621">
        <w:t xml:space="preserve">and receiving applications. </w:t>
      </w:r>
      <w:r w:rsidR="00CF6621" w:rsidRPr="00CF6621">
        <w:t>The Nominations and Governance Committee (or sub-group thereof) will select a shortlist from among the applications for interview before making a recommendation for appointment to the Board of Governors.</w:t>
      </w:r>
    </w:p>
    <w:p w14:paraId="1ADAA987" w14:textId="77777777" w:rsidR="00144E96" w:rsidRDefault="00144E96" w:rsidP="00144E96">
      <w:pPr>
        <w:pStyle w:val="ListParagraph"/>
        <w:ind w:left="780"/>
      </w:pPr>
    </w:p>
    <w:p w14:paraId="7680B3DC" w14:textId="16E45524" w:rsidR="00B869A8" w:rsidRDefault="00212A53" w:rsidP="00144E96">
      <w:pPr>
        <w:pStyle w:val="ListParagraph"/>
        <w:numPr>
          <w:ilvl w:val="0"/>
          <w:numId w:val="2"/>
        </w:numPr>
        <w:rPr>
          <w:b/>
          <w:bCs/>
        </w:rPr>
      </w:pPr>
      <w:r w:rsidRPr="00144E96">
        <w:rPr>
          <w:b/>
          <w:bCs/>
        </w:rPr>
        <w:t xml:space="preserve">Eligibility </w:t>
      </w:r>
      <w:r w:rsidR="00CD3D34" w:rsidRPr="00144E96">
        <w:rPr>
          <w:b/>
          <w:bCs/>
        </w:rPr>
        <w:t>and Due D</w:t>
      </w:r>
      <w:r w:rsidR="00F97FD9" w:rsidRPr="00144E96">
        <w:rPr>
          <w:b/>
          <w:bCs/>
        </w:rPr>
        <w:t>iligence</w:t>
      </w:r>
    </w:p>
    <w:p w14:paraId="50A308B0" w14:textId="77777777" w:rsidR="00144E96" w:rsidRPr="00144E96" w:rsidRDefault="00144E96" w:rsidP="00144E96">
      <w:pPr>
        <w:pStyle w:val="ListParagraph"/>
        <w:rPr>
          <w:b/>
          <w:bCs/>
        </w:rPr>
      </w:pPr>
    </w:p>
    <w:p w14:paraId="70B7FD2B" w14:textId="6640D4D8" w:rsidR="00212A53" w:rsidRDefault="00212A53" w:rsidP="00144E96">
      <w:pPr>
        <w:pStyle w:val="ListParagraph"/>
        <w:numPr>
          <w:ilvl w:val="1"/>
          <w:numId w:val="13"/>
        </w:numPr>
      </w:pPr>
      <w:r>
        <w:t xml:space="preserve">The University carries out checks of prospective governors’ eligibility to be charity trustees through relevant registers maintained by the Insolvency Service, Companies House and by the Charity Commission. </w:t>
      </w:r>
      <w:r w:rsidR="00CF6621">
        <w:t>Prospective</w:t>
      </w:r>
      <w:r>
        <w:t xml:space="preserve"> governors are required </w:t>
      </w:r>
      <w:r w:rsidR="00CF6621">
        <w:t xml:space="preserve">to declare any actual or perceived conflicts upfront and </w:t>
      </w:r>
      <w:r>
        <w:t xml:space="preserve">sign a form declaring that they are eligible to be a trustee and that they meet the </w:t>
      </w:r>
      <w:r w:rsidR="00CF6621">
        <w:t>‘</w:t>
      </w:r>
      <w:r>
        <w:t>fit and proper</w:t>
      </w:r>
      <w:r w:rsidR="00CF6621">
        <w:t xml:space="preserve">’ </w:t>
      </w:r>
      <w:r>
        <w:t>person requirements set out by the Office for Students</w:t>
      </w:r>
      <w:r w:rsidR="00CF6621">
        <w:t xml:space="preserve"> prior to appointment</w:t>
      </w:r>
      <w:r>
        <w:t>.</w:t>
      </w:r>
      <w:r w:rsidR="00181A78">
        <w:t xml:space="preserve"> Governors are required to re-confirm that </w:t>
      </w:r>
      <w:r w:rsidR="00CF6621">
        <w:t xml:space="preserve">they meet the </w:t>
      </w:r>
      <w:r w:rsidR="00181A78">
        <w:t>‘fit and proper’ person</w:t>
      </w:r>
      <w:r w:rsidR="00CF6621">
        <w:t xml:space="preserve"> requirements</w:t>
      </w:r>
      <w:r w:rsidR="00181A78">
        <w:t xml:space="preserve"> on an annual basis.</w:t>
      </w:r>
    </w:p>
    <w:p w14:paraId="603249DE" w14:textId="77777777" w:rsidR="00144E96" w:rsidRDefault="00144E96" w:rsidP="00144E96">
      <w:pPr>
        <w:pStyle w:val="ListParagraph"/>
        <w:ind w:left="780"/>
      </w:pPr>
    </w:p>
    <w:p w14:paraId="15354CE0" w14:textId="6835AFFC" w:rsidR="00B869A8" w:rsidRDefault="00212A53" w:rsidP="00144E96">
      <w:pPr>
        <w:pStyle w:val="ListParagraph"/>
        <w:numPr>
          <w:ilvl w:val="0"/>
          <w:numId w:val="2"/>
        </w:numPr>
        <w:rPr>
          <w:b/>
          <w:bCs/>
        </w:rPr>
      </w:pPr>
      <w:r w:rsidRPr="00B82B9E">
        <w:rPr>
          <w:b/>
          <w:bCs/>
        </w:rPr>
        <w:t xml:space="preserve">Induction </w:t>
      </w:r>
    </w:p>
    <w:p w14:paraId="6EAD34CE" w14:textId="77777777" w:rsidR="00144E96" w:rsidRPr="00B82B9E" w:rsidRDefault="00144E96" w:rsidP="00144E96">
      <w:pPr>
        <w:pStyle w:val="ListParagraph"/>
        <w:rPr>
          <w:b/>
          <w:bCs/>
        </w:rPr>
      </w:pPr>
    </w:p>
    <w:p w14:paraId="08033E4E" w14:textId="6F4808C2" w:rsidR="008B494E" w:rsidRDefault="00B869A8" w:rsidP="00144E96">
      <w:pPr>
        <w:pStyle w:val="ListParagraph"/>
        <w:numPr>
          <w:ilvl w:val="1"/>
          <w:numId w:val="14"/>
        </w:numPr>
      </w:pPr>
      <w:r>
        <w:t>A</w:t>
      </w:r>
      <w:r w:rsidR="00212A53">
        <w:t>n induction for new governors, including follow</w:t>
      </w:r>
      <w:r w:rsidR="00CF6621">
        <w:t>-</w:t>
      </w:r>
      <w:r w:rsidR="00212A53">
        <w:t xml:space="preserve">up sessions, is </w:t>
      </w:r>
      <w:r w:rsidR="00CF6621">
        <w:t>arranged by</w:t>
      </w:r>
      <w:r w:rsidR="00212A53">
        <w:t xml:space="preserve"> the University Secretary</w:t>
      </w:r>
      <w:r w:rsidR="00CF6621">
        <w:t xml:space="preserve"> (or their nominee)</w:t>
      </w:r>
      <w:r w:rsidR="00212A53">
        <w:t xml:space="preserve">. </w:t>
      </w:r>
      <w:r w:rsidR="00CF6621">
        <w:t>As standard, the induction will include</w:t>
      </w:r>
      <w:r w:rsidR="00333544">
        <w:t xml:space="preserve"> </w:t>
      </w:r>
      <w:r w:rsidR="00A93B63">
        <w:t xml:space="preserve">information about university governance, </w:t>
      </w:r>
      <w:r w:rsidR="00CF6621">
        <w:t xml:space="preserve">introductory </w:t>
      </w:r>
      <w:r w:rsidR="00333544">
        <w:t>meetings with key members of staff</w:t>
      </w:r>
      <w:r w:rsidR="00A93B63">
        <w:t xml:space="preserve">, </w:t>
      </w:r>
      <w:r w:rsidR="00333544">
        <w:t xml:space="preserve">and tours of the </w:t>
      </w:r>
      <w:r w:rsidR="00CF6621">
        <w:t xml:space="preserve">University’s </w:t>
      </w:r>
      <w:r w:rsidR="00F06725">
        <w:t xml:space="preserve">main </w:t>
      </w:r>
      <w:r w:rsidR="00333544">
        <w:t xml:space="preserve">campuses. </w:t>
      </w:r>
      <w:r w:rsidR="00A93B63">
        <w:t xml:space="preserve">A ‘board buddy’ arrangement is also offered to new governors for the first 12 months. </w:t>
      </w:r>
      <w:r w:rsidR="00212A53">
        <w:t>Ongoing development is available through a variety of methods</w:t>
      </w:r>
      <w:r w:rsidR="00A93B63">
        <w:t>,</w:t>
      </w:r>
      <w:r w:rsidR="00212A53">
        <w:t xml:space="preserve"> including external seminars</w:t>
      </w:r>
      <w:r w:rsidR="00A93B63">
        <w:t xml:space="preserve"> with sector groups</w:t>
      </w:r>
      <w:r w:rsidR="00212A53">
        <w:t xml:space="preserve"> and briefings </w:t>
      </w:r>
      <w:r w:rsidR="008B494E">
        <w:t>delivered</w:t>
      </w:r>
      <w:r w:rsidR="00A93B63">
        <w:t xml:space="preserve"> through</w:t>
      </w:r>
      <w:r w:rsidR="008B494E">
        <w:t xml:space="preserve"> </w:t>
      </w:r>
      <w:r w:rsidR="00A93B63">
        <w:t xml:space="preserve">a programme of </w:t>
      </w:r>
      <w:r w:rsidR="008B494E">
        <w:t>Board Awareness Sessions.</w:t>
      </w:r>
      <w:r w:rsidR="00212A53">
        <w:t xml:space="preserve"> </w:t>
      </w:r>
    </w:p>
    <w:p w14:paraId="0BA0093B" w14:textId="77777777" w:rsidR="00144E96" w:rsidRDefault="00144E96" w:rsidP="00144E96">
      <w:pPr>
        <w:pStyle w:val="ListParagraph"/>
        <w:ind w:left="780"/>
      </w:pPr>
    </w:p>
    <w:p w14:paraId="3C702636" w14:textId="0BF9C8A3" w:rsidR="00B869A8" w:rsidRDefault="00212A53" w:rsidP="00144E96">
      <w:pPr>
        <w:pStyle w:val="ListParagraph"/>
        <w:numPr>
          <w:ilvl w:val="0"/>
          <w:numId w:val="2"/>
        </w:numPr>
        <w:rPr>
          <w:b/>
          <w:bCs/>
        </w:rPr>
      </w:pPr>
      <w:r w:rsidRPr="00B82B9E">
        <w:rPr>
          <w:b/>
          <w:bCs/>
        </w:rPr>
        <w:t xml:space="preserve">Policy on Terms of Office </w:t>
      </w:r>
    </w:p>
    <w:p w14:paraId="0892C9D1" w14:textId="77777777" w:rsidR="00144E96" w:rsidRPr="00B82B9E" w:rsidRDefault="00144E96" w:rsidP="00144E96">
      <w:pPr>
        <w:pStyle w:val="ListParagraph"/>
        <w:rPr>
          <w:b/>
          <w:bCs/>
        </w:rPr>
      </w:pPr>
    </w:p>
    <w:p w14:paraId="6F39311E" w14:textId="2FAF9639" w:rsidR="00EA60BE" w:rsidRDefault="00212A53" w:rsidP="00144E96">
      <w:pPr>
        <w:pStyle w:val="ListParagraph"/>
        <w:numPr>
          <w:ilvl w:val="1"/>
          <w:numId w:val="15"/>
        </w:numPr>
      </w:pPr>
      <w:r>
        <w:lastRenderedPageBreak/>
        <w:t xml:space="preserve">The current policy of the </w:t>
      </w:r>
      <w:r w:rsidR="00CC35EB">
        <w:t>Board</w:t>
      </w:r>
      <w:r>
        <w:t xml:space="preserve"> of Governors on </w:t>
      </w:r>
      <w:r w:rsidR="00DC0F31">
        <w:t xml:space="preserve">independent </w:t>
      </w:r>
      <w:r w:rsidR="00A93B63">
        <w:t xml:space="preserve">governor </w:t>
      </w:r>
      <w:r>
        <w:t xml:space="preserve">terms of office is that: </w:t>
      </w:r>
    </w:p>
    <w:p w14:paraId="23748920" w14:textId="446023C3" w:rsidR="00EA60BE" w:rsidRDefault="00212A53" w:rsidP="00144E96">
      <w:pPr>
        <w:pStyle w:val="ListParagraph"/>
        <w:numPr>
          <w:ilvl w:val="1"/>
          <w:numId w:val="2"/>
        </w:numPr>
      </w:pPr>
      <w:r>
        <w:t xml:space="preserve">Reappointment of governors for </w:t>
      </w:r>
      <w:r w:rsidR="00F06725">
        <w:t>subsequent</w:t>
      </w:r>
      <w:r>
        <w:t xml:space="preserve"> term</w:t>
      </w:r>
      <w:r w:rsidR="00F06725">
        <w:t>s</w:t>
      </w:r>
      <w:r>
        <w:t xml:space="preserve"> is </w:t>
      </w:r>
      <w:r w:rsidR="00A93B63">
        <w:t xml:space="preserve">not automatic and is </w:t>
      </w:r>
      <w:r>
        <w:t>based on an assessment by the Nominations</w:t>
      </w:r>
      <w:r w:rsidR="008B494E">
        <w:t xml:space="preserve"> and Governance</w:t>
      </w:r>
      <w:r>
        <w:t xml:space="preserve"> Committee of the attendance record and contribution made by the governor concerned during </w:t>
      </w:r>
      <w:r w:rsidR="008B494E">
        <w:t>their</w:t>
      </w:r>
      <w:r>
        <w:t xml:space="preserve"> first term. Governors with poor records of attendance and contribution will be asked to step down. </w:t>
      </w:r>
    </w:p>
    <w:p w14:paraId="03866FA3" w14:textId="7961ECD0" w:rsidR="00EA60BE" w:rsidRDefault="00212A53" w:rsidP="00144E96">
      <w:pPr>
        <w:pStyle w:val="ListParagraph"/>
        <w:numPr>
          <w:ilvl w:val="1"/>
          <w:numId w:val="2"/>
        </w:numPr>
      </w:pPr>
      <w:r>
        <w:t>The maximum period a</w:t>
      </w:r>
      <w:r w:rsidR="00DC0F31">
        <w:t>n independent</w:t>
      </w:r>
      <w:r>
        <w:t xml:space="preserve"> governor may serve for is </w:t>
      </w:r>
      <w:r w:rsidR="00DC0F31">
        <w:t>six</w:t>
      </w:r>
      <w:r>
        <w:t xml:space="preserve"> years (</w:t>
      </w:r>
      <w:r w:rsidR="008B494E">
        <w:t>3+3</w:t>
      </w:r>
      <w:r>
        <w:t>), unless very exceptional circumstances require the governors’ service for one further year (</w:t>
      </w:r>
      <w:r w:rsidR="00A85764">
        <w:t>for example,</w:t>
      </w:r>
      <w:r>
        <w:t xml:space="preserve"> where the governor is a committee </w:t>
      </w:r>
      <w:proofErr w:type="gramStart"/>
      <w:r>
        <w:t>chair</w:t>
      </w:r>
      <w:proofErr w:type="gramEnd"/>
      <w:r>
        <w:t xml:space="preserve"> and a replacement has yet to be appointed). </w:t>
      </w:r>
    </w:p>
    <w:p w14:paraId="166E0136" w14:textId="77777777" w:rsidR="00144E96" w:rsidRDefault="00144E96" w:rsidP="00144E96">
      <w:pPr>
        <w:pStyle w:val="ListParagraph"/>
        <w:ind w:left="1440"/>
      </w:pPr>
    </w:p>
    <w:p w14:paraId="7C38AF52" w14:textId="4F81C0C4" w:rsidR="00EA60BE" w:rsidRDefault="00212A53" w:rsidP="00144E96">
      <w:pPr>
        <w:pStyle w:val="ListParagraph"/>
        <w:numPr>
          <w:ilvl w:val="0"/>
          <w:numId w:val="2"/>
        </w:numPr>
        <w:rPr>
          <w:b/>
          <w:bCs/>
        </w:rPr>
      </w:pPr>
      <w:r w:rsidRPr="00B82B9E">
        <w:rPr>
          <w:b/>
          <w:bCs/>
        </w:rPr>
        <w:t xml:space="preserve">Review of Process </w:t>
      </w:r>
    </w:p>
    <w:p w14:paraId="3FCD0435" w14:textId="77777777" w:rsidR="00144E96" w:rsidRPr="00B82B9E" w:rsidRDefault="00144E96" w:rsidP="00144E96">
      <w:pPr>
        <w:pStyle w:val="ListParagraph"/>
        <w:rPr>
          <w:b/>
          <w:bCs/>
        </w:rPr>
      </w:pPr>
    </w:p>
    <w:p w14:paraId="6817C001" w14:textId="5BEC542E" w:rsidR="00DA385A" w:rsidRDefault="00212A53" w:rsidP="00144E96">
      <w:pPr>
        <w:pStyle w:val="ListParagraph"/>
        <w:numPr>
          <w:ilvl w:val="1"/>
          <w:numId w:val="16"/>
        </w:numPr>
      </w:pPr>
      <w:r>
        <w:t xml:space="preserve">The appointments process for governors is reviewed by the Nominations </w:t>
      </w:r>
      <w:r w:rsidR="001F3C83">
        <w:t xml:space="preserve">and Governance </w:t>
      </w:r>
      <w:r>
        <w:t>Committee who may recommend amendments to the process where required.</w:t>
      </w:r>
    </w:p>
    <w:p w14:paraId="25F7159C" w14:textId="77777777" w:rsidR="00212A53" w:rsidRDefault="00212A53" w:rsidP="00212A53"/>
    <w:p w14:paraId="5D2FBF9F" w14:textId="77777777" w:rsidR="00212A53" w:rsidRDefault="00212A53" w:rsidP="00212A53">
      <w:pPr>
        <w:pStyle w:val="ListParagraph"/>
        <w:rPr>
          <w:b/>
        </w:rPr>
      </w:pPr>
    </w:p>
    <w:p w14:paraId="07D3EEAC" w14:textId="24BF626D" w:rsidR="00212A53" w:rsidRPr="00212A53" w:rsidRDefault="00212A53" w:rsidP="00EA60BE">
      <w:pPr>
        <w:pStyle w:val="ListParagraph"/>
        <w:jc w:val="center"/>
        <w:rPr>
          <w:b/>
        </w:rPr>
      </w:pPr>
      <w:r w:rsidRPr="00212A53">
        <w:rPr>
          <w:b/>
        </w:rPr>
        <w:t>RECORD OF AMENDMENTS</w:t>
      </w:r>
    </w:p>
    <w:p w14:paraId="6877F1E8" w14:textId="51051B4C" w:rsidR="00212A53" w:rsidRDefault="00212A53" w:rsidP="00212A53">
      <w:pPr>
        <w:pStyle w:val="ListParagraph"/>
        <w:rPr>
          <w:b/>
          <w:u w:val="single"/>
        </w:rPr>
      </w:pPr>
    </w:p>
    <w:p w14:paraId="4BF50D46" w14:textId="77777777" w:rsidR="00212A53" w:rsidRPr="00212A53" w:rsidRDefault="00212A53" w:rsidP="00212A53">
      <w:pPr>
        <w:pStyle w:val="ListParagraph"/>
        <w:rPr>
          <w:b/>
          <w:u w:val="single"/>
        </w:rPr>
      </w:pPr>
    </w:p>
    <w:tbl>
      <w:tblPr>
        <w:tblStyle w:val="TableGrid"/>
        <w:tblW w:w="0" w:type="auto"/>
        <w:tblLook w:val="0620" w:firstRow="1" w:lastRow="0" w:firstColumn="0" w:lastColumn="0" w:noHBand="1" w:noVBand="1"/>
      </w:tblPr>
      <w:tblGrid>
        <w:gridCol w:w="1023"/>
        <w:gridCol w:w="1389"/>
        <w:gridCol w:w="3052"/>
        <w:gridCol w:w="3552"/>
      </w:tblGrid>
      <w:tr w:rsidR="00212A53" w14:paraId="123A4F0F" w14:textId="77777777" w:rsidTr="005A3E7E">
        <w:trPr>
          <w:tblHeader/>
        </w:trPr>
        <w:tc>
          <w:tcPr>
            <w:tcW w:w="1023" w:type="dxa"/>
            <w:shd w:val="clear" w:color="auto" w:fill="D9D9D9" w:themeFill="background1" w:themeFillShade="D9"/>
          </w:tcPr>
          <w:p w14:paraId="5C883EAD" w14:textId="77777777" w:rsidR="00212A53" w:rsidRPr="001F3C83" w:rsidRDefault="00212A53" w:rsidP="00F86155">
            <w:pPr>
              <w:jc w:val="center"/>
              <w:rPr>
                <w:rFonts w:asciiTheme="minorHAnsi" w:hAnsiTheme="minorHAnsi" w:cstheme="minorHAnsi"/>
                <w:b/>
                <w:sz w:val="22"/>
                <w:szCs w:val="22"/>
              </w:rPr>
            </w:pPr>
            <w:r w:rsidRPr="001F3C83">
              <w:rPr>
                <w:rFonts w:asciiTheme="minorHAnsi" w:hAnsiTheme="minorHAnsi" w:cstheme="minorHAnsi"/>
                <w:b/>
                <w:sz w:val="22"/>
                <w:szCs w:val="22"/>
              </w:rPr>
              <w:t>Version</w:t>
            </w:r>
          </w:p>
        </w:tc>
        <w:tc>
          <w:tcPr>
            <w:tcW w:w="1389" w:type="dxa"/>
            <w:shd w:val="clear" w:color="auto" w:fill="D9D9D9" w:themeFill="background1" w:themeFillShade="D9"/>
          </w:tcPr>
          <w:p w14:paraId="71D9542D" w14:textId="77777777" w:rsidR="00212A53" w:rsidRPr="001F3C83" w:rsidRDefault="00212A53" w:rsidP="00F86155">
            <w:pPr>
              <w:jc w:val="center"/>
              <w:rPr>
                <w:rFonts w:asciiTheme="minorHAnsi" w:hAnsiTheme="minorHAnsi" w:cstheme="minorHAnsi"/>
                <w:b/>
                <w:sz w:val="22"/>
                <w:szCs w:val="22"/>
              </w:rPr>
            </w:pPr>
            <w:r w:rsidRPr="001F3C83">
              <w:rPr>
                <w:rFonts w:asciiTheme="minorHAnsi" w:hAnsiTheme="minorHAnsi" w:cstheme="minorHAnsi"/>
                <w:b/>
                <w:sz w:val="22"/>
                <w:szCs w:val="22"/>
              </w:rPr>
              <w:t>Date</w:t>
            </w:r>
          </w:p>
        </w:tc>
        <w:tc>
          <w:tcPr>
            <w:tcW w:w="3052" w:type="dxa"/>
            <w:shd w:val="clear" w:color="auto" w:fill="D9D9D9" w:themeFill="background1" w:themeFillShade="D9"/>
          </w:tcPr>
          <w:p w14:paraId="397F40AD" w14:textId="77777777" w:rsidR="00212A53" w:rsidRPr="001F3C83" w:rsidRDefault="00212A53" w:rsidP="00F86155">
            <w:pPr>
              <w:jc w:val="center"/>
              <w:rPr>
                <w:rFonts w:asciiTheme="minorHAnsi" w:hAnsiTheme="minorHAnsi" w:cstheme="minorHAnsi"/>
                <w:b/>
                <w:sz w:val="22"/>
                <w:szCs w:val="22"/>
              </w:rPr>
            </w:pPr>
            <w:r w:rsidRPr="001F3C83">
              <w:rPr>
                <w:rFonts w:asciiTheme="minorHAnsi" w:hAnsiTheme="minorHAnsi" w:cstheme="minorHAnsi"/>
                <w:b/>
                <w:sz w:val="22"/>
                <w:szCs w:val="22"/>
              </w:rPr>
              <w:t>Author</w:t>
            </w:r>
          </w:p>
        </w:tc>
        <w:tc>
          <w:tcPr>
            <w:tcW w:w="3552" w:type="dxa"/>
            <w:shd w:val="clear" w:color="auto" w:fill="D9D9D9" w:themeFill="background1" w:themeFillShade="D9"/>
          </w:tcPr>
          <w:p w14:paraId="61E11047" w14:textId="77777777" w:rsidR="00212A53" w:rsidRPr="001F3C83" w:rsidRDefault="00212A53" w:rsidP="00F86155">
            <w:pPr>
              <w:jc w:val="center"/>
              <w:rPr>
                <w:rFonts w:asciiTheme="minorHAnsi" w:hAnsiTheme="minorHAnsi" w:cstheme="minorHAnsi"/>
                <w:b/>
                <w:sz w:val="22"/>
                <w:szCs w:val="22"/>
              </w:rPr>
            </w:pPr>
            <w:r w:rsidRPr="001F3C83">
              <w:rPr>
                <w:rFonts w:asciiTheme="minorHAnsi" w:hAnsiTheme="minorHAnsi" w:cstheme="minorHAnsi"/>
                <w:b/>
                <w:sz w:val="22"/>
                <w:szCs w:val="22"/>
              </w:rPr>
              <w:t>Changes</w:t>
            </w:r>
          </w:p>
        </w:tc>
      </w:tr>
      <w:tr w:rsidR="00212A53" w14:paraId="540EA313" w14:textId="77777777" w:rsidTr="005A3E7E">
        <w:tc>
          <w:tcPr>
            <w:tcW w:w="1023" w:type="dxa"/>
          </w:tcPr>
          <w:p w14:paraId="61F7AF11" w14:textId="77777777" w:rsidR="00212A53" w:rsidRPr="001F3C83" w:rsidRDefault="00212A53" w:rsidP="00F86155">
            <w:pPr>
              <w:jc w:val="center"/>
              <w:rPr>
                <w:rFonts w:asciiTheme="minorHAnsi" w:hAnsiTheme="minorHAnsi" w:cstheme="minorHAnsi"/>
                <w:sz w:val="22"/>
                <w:szCs w:val="22"/>
              </w:rPr>
            </w:pPr>
            <w:r w:rsidRPr="001F3C83">
              <w:rPr>
                <w:rFonts w:asciiTheme="minorHAnsi" w:hAnsiTheme="minorHAnsi" w:cstheme="minorHAnsi"/>
                <w:sz w:val="22"/>
                <w:szCs w:val="22"/>
              </w:rPr>
              <w:t>1</w:t>
            </w:r>
          </w:p>
        </w:tc>
        <w:tc>
          <w:tcPr>
            <w:tcW w:w="1389" w:type="dxa"/>
          </w:tcPr>
          <w:p w14:paraId="7603F6FD" w14:textId="2DA18506" w:rsidR="00212A53" w:rsidRPr="001F3C83" w:rsidRDefault="00DC0F31" w:rsidP="00F86155">
            <w:pPr>
              <w:rPr>
                <w:rFonts w:asciiTheme="minorHAnsi" w:hAnsiTheme="minorHAnsi" w:cstheme="minorHAnsi"/>
                <w:sz w:val="22"/>
                <w:szCs w:val="22"/>
              </w:rPr>
            </w:pPr>
            <w:r>
              <w:rPr>
                <w:rFonts w:asciiTheme="minorHAnsi" w:hAnsiTheme="minorHAnsi" w:cstheme="minorHAnsi"/>
                <w:sz w:val="22"/>
                <w:szCs w:val="22"/>
              </w:rPr>
              <w:t>28 September</w:t>
            </w:r>
            <w:r w:rsidR="001F3C83">
              <w:rPr>
                <w:rFonts w:asciiTheme="minorHAnsi" w:hAnsiTheme="minorHAnsi" w:cstheme="minorHAnsi"/>
                <w:sz w:val="22"/>
                <w:szCs w:val="22"/>
              </w:rPr>
              <w:t xml:space="preserve"> 2022</w:t>
            </w:r>
          </w:p>
        </w:tc>
        <w:tc>
          <w:tcPr>
            <w:tcW w:w="3052" w:type="dxa"/>
          </w:tcPr>
          <w:p w14:paraId="1127439F" w14:textId="40C6929F" w:rsidR="00212A53" w:rsidRPr="001F3C83" w:rsidRDefault="00212A53" w:rsidP="00F86155">
            <w:pPr>
              <w:rPr>
                <w:rFonts w:asciiTheme="minorHAnsi" w:hAnsiTheme="minorHAnsi" w:cstheme="minorHAnsi"/>
                <w:sz w:val="22"/>
                <w:szCs w:val="22"/>
              </w:rPr>
            </w:pPr>
            <w:r w:rsidRPr="001F3C83">
              <w:rPr>
                <w:rFonts w:asciiTheme="minorHAnsi" w:hAnsiTheme="minorHAnsi" w:cstheme="minorHAnsi"/>
                <w:sz w:val="22"/>
                <w:szCs w:val="22"/>
              </w:rPr>
              <w:t>David Newman, University Secretary</w:t>
            </w:r>
            <w:r w:rsidR="006437BA">
              <w:rPr>
                <w:rFonts w:asciiTheme="minorHAnsi" w:hAnsiTheme="minorHAnsi" w:cstheme="minorHAnsi"/>
                <w:sz w:val="22"/>
                <w:szCs w:val="22"/>
              </w:rPr>
              <w:t xml:space="preserve"> / Lucy Barling, Governance Manager</w:t>
            </w:r>
          </w:p>
        </w:tc>
        <w:tc>
          <w:tcPr>
            <w:tcW w:w="3552" w:type="dxa"/>
          </w:tcPr>
          <w:p w14:paraId="2A59DA0B" w14:textId="459A94FE" w:rsidR="00212A53" w:rsidRPr="001F3C83" w:rsidRDefault="00212A53" w:rsidP="00F86155">
            <w:pPr>
              <w:rPr>
                <w:rFonts w:asciiTheme="minorHAnsi" w:hAnsiTheme="minorHAnsi" w:cstheme="minorHAnsi"/>
                <w:sz w:val="22"/>
                <w:szCs w:val="22"/>
              </w:rPr>
            </w:pPr>
            <w:r w:rsidRPr="001F3C83">
              <w:rPr>
                <w:rFonts w:asciiTheme="minorHAnsi" w:hAnsiTheme="minorHAnsi" w:cstheme="minorHAnsi"/>
                <w:sz w:val="22"/>
                <w:szCs w:val="22"/>
              </w:rPr>
              <w:t>First version approved by Board of Governors</w:t>
            </w:r>
          </w:p>
        </w:tc>
      </w:tr>
    </w:tbl>
    <w:p w14:paraId="4E4E6375" w14:textId="77777777" w:rsidR="00212A53" w:rsidRDefault="00212A53" w:rsidP="00212A53"/>
    <w:sectPr w:rsidR="00212A5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5492" w14:textId="77777777" w:rsidR="00E771AA" w:rsidRDefault="00E771AA" w:rsidP="00834FB6">
      <w:pPr>
        <w:spacing w:after="0" w:line="240" w:lineRule="auto"/>
      </w:pPr>
      <w:r>
        <w:separator/>
      </w:r>
    </w:p>
  </w:endnote>
  <w:endnote w:type="continuationSeparator" w:id="0">
    <w:p w14:paraId="3F1D51DA" w14:textId="77777777" w:rsidR="00E771AA" w:rsidRDefault="00E771AA" w:rsidP="0083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7701" w14:textId="77777777" w:rsidR="00E771AA" w:rsidRDefault="00E771AA" w:rsidP="00834FB6">
      <w:pPr>
        <w:spacing w:after="0" w:line="240" w:lineRule="auto"/>
      </w:pPr>
      <w:r>
        <w:separator/>
      </w:r>
    </w:p>
  </w:footnote>
  <w:footnote w:type="continuationSeparator" w:id="0">
    <w:p w14:paraId="3AA62991" w14:textId="77777777" w:rsidR="00E771AA" w:rsidRDefault="00E771AA" w:rsidP="00834FB6">
      <w:pPr>
        <w:spacing w:after="0" w:line="240" w:lineRule="auto"/>
      </w:pPr>
      <w:r>
        <w:continuationSeparator/>
      </w:r>
    </w:p>
  </w:footnote>
  <w:footnote w:id="1">
    <w:p w14:paraId="32DF3E5D" w14:textId="6FF9D2ED" w:rsidR="00834FB6" w:rsidRPr="00834FB6" w:rsidRDefault="00834FB6">
      <w:pPr>
        <w:pStyle w:val="FootnoteText"/>
        <w:rPr>
          <w:lang w:val="en-US"/>
        </w:rPr>
      </w:pPr>
      <w:r>
        <w:rPr>
          <w:rStyle w:val="FootnoteReference"/>
        </w:rPr>
        <w:footnoteRef/>
      </w:r>
      <w:r>
        <w:t xml:space="preserve"> </w:t>
      </w:r>
      <w:hyperlink r:id="rId1" w:history="1">
        <w:proofErr w:type="spellStart"/>
        <w:r w:rsidRPr="00834FB6">
          <w:rPr>
            <w:rStyle w:val="Hyperlink"/>
            <w:lang w:val="en-US"/>
          </w:rPr>
          <w:t>OfS</w:t>
        </w:r>
        <w:proofErr w:type="spellEnd"/>
        <w:r w:rsidRPr="00834FB6">
          <w:rPr>
            <w:rStyle w:val="Hyperlink"/>
            <w:lang w:val="en-US"/>
          </w:rPr>
          <w:t xml:space="preserve"> Regulatory Advice 5: Exempt Charities</w:t>
        </w:r>
      </w:hyperlink>
    </w:p>
  </w:footnote>
  <w:footnote w:id="2">
    <w:p w14:paraId="6BBB0475" w14:textId="3BC76E52" w:rsidR="00575CBC" w:rsidRPr="00575CBC" w:rsidRDefault="00575CBC">
      <w:pPr>
        <w:pStyle w:val="FootnoteText"/>
        <w:rPr>
          <w:lang w:val="en-US"/>
        </w:rPr>
      </w:pPr>
      <w:r>
        <w:rPr>
          <w:rStyle w:val="FootnoteReference"/>
        </w:rPr>
        <w:footnoteRef/>
      </w:r>
      <w:r>
        <w:t xml:space="preserve"> </w:t>
      </w:r>
      <w:hyperlink r:id="rId2" w:history="1">
        <w:r w:rsidR="00EA3CFA" w:rsidRPr="00EC532B">
          <w:rPr>
            <w:rStyle w:val="Hyperlink"/>
          </w:rPr>
          <w:t>https://www.bathspa.ac.uk/about-us/governance/board-of-governors/</w:t>
        </w:r>
      </w:hyperlink>
      <w:r w:rsidR="00EA3CFA">
        <w:t xml:space="preserve"> </w:t>
      </w:r>
    </w:p>
  </w:footnote>
  <w:footnote w:id="3">
    <w:p w14:paraId="21E0319B" w14:textId="6072E308" w:rsidR="00D204EB" w:rsidRPr="00D204EB" w:rsidRDefault="00D204EB">
      <w:pPr>
        <w:pStyle w:val="FootnoteText"/>
        <w:rPr>
          <w:lang w:val="en-US"/>
        </w:rPr>
      </w:pPr>
      <w:r>
        <w:rPr>
          <w:rStyle w:val="FootnoteReference"/>
        </w:rPr>
        <w:footnoteRef/>
      </w:r>
      <w:r>
        <w:t xml:space="preserve"> </w:t>
      </w:r>
      <w:hyperlink r:id="rId3" w:history="1">
        <w:r w:rsidRPr="00EC532B">
          <w:rPr>
            <w:rStyle w:val="Hyperlink"/>
          </w:rPr>
          <w:t>https://www.bathspa.ac.uk/media/bathspaacuk/about-us/policies/staff/Equality-Policy.pdf</w:t>
        </w:r>
      </w:hyperlink>
      <w:r>
        <w:t xml:space="preserve"> </w:t>
      </w:r>
    </w:p>
  </w:footnote>
  <w:footnote w:id="4">
    <w:p w14:paraId="527EC6E2" w14:textId="698BBBC0" w:rsidR="000D265B" w:rsidRPr="000D265B" w:rsidRDefault="000D265B">
      <w:pPr>
        <w:pStyle w:val="FootnoteText"/>
        <w:rPr>
          <w:lang w:val="en-US"/>
        </w:rPr>
      </w:pPr>
      <w:r>
        <w:rPr>
          <w:rStyle w:val="FootnoteReference"/>
        </w:rPr>
        <w:footnoteRef/>
      </w:r>
      <w:r>
        <w:t xml:space="preserve"> </w:t>
      </w:r>
      <w:hyperlink r:id="rId4" w:history="1">
        <w:r w:rsidRPr="00CD3A83">
          <w:rPr>
            <w:rStyle w:val="Hyperlink"/>
          </w:rPr>
          <w:t>https://www.bathspa.ac.uk/about-us/culture-and-values/history/</w:t>
        </w:r>
      </w:hyperlink>
      <w:r>
        <w:t xml:space="preserve"> </w:t>
      </w:r>
    </w:p>
  </w:footnote>
  <w:footnote w:id="5">
    <w:p w14:paraId="1D7A9140" w14:textId="747C187B" w:rsidR="00427A63" w:rsidRPr="00427A63" w:rsidRDefault="00427A63">
      <w:pPr>
        <w:pStyle w:val="FootnoteText"/>
        <w:rPr>
          <w:lang w:val="en-US"/>
        </w:rPr>
      </w:pPr>
      <w:r>
        <w:rPr>
          <w:rStyle w:val="FootnoteReference"/>
        </w:rPr>
        <w:footnoteRef/>
      </w:r>
      <w:r>
        <w:t xml:space="preserve"> </w:t>
      </w:r>
      <w:hyperlink r:id="rId5" w:history="1">
        <w:r w:rsidRPr="00CD3A83">
          <w:rPr>
            <w:rStyle w:val="Hyperlink"/>
          </w:rPr>
          <w:t>https://www.bathspa.ac.uk/about-us/governance/financial-governance/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C9A9" w14:textId="168C133D" w:rsidR="00A118B6" w:rsidRDefault="00A118B6">
    <w:pPr>
      <w:pStyle w:val="Header"/>
    </w:pPr>
  </w:p>
  <w:p w14:paraId="1C4EB3C0" w14:textId="77777777" w:rsidR="00A118B6" w:rsidRDefault="00A11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0DE"/>
    <w:multiLevelType w:val="multilevel"/>
    <w:tmpl w:val="EE98CB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197B17"/>
    <w:multiLevelType w:val="multilevel"/>
    <w:tmpl w:val="E88A7428"/>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223917BA"/>
    <w:multiLevelType w:val="multilevel"/>
    <w:tmpl w:val="D3CA7848"/>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DD3A2A"/>
    <w:multiLevelType w:val="multilevel"/>
    <w:tmpl w:val="242C2C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750952"/>
    <w:multiLevelType w:val="multilevel"/>
    <w:tmpl w:val="5E1814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D96D44"/>
    <w:multiLevelType w:val="multilevel"/>
    <w:tmpl w:val="244615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C596804"/>
    <w:multiLevelType w:val="multilevel"/>
    <w:tmpl w:val="57C800D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3F603F2"/>
    <w:multiLevelType w:val="multilevel"/>
    <w:tmpl w:val="EFB0CE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8AB011D"/>
    <w:multiLevelType w:val="multilevel"/>
    <w:tmpl w:val="E68889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AD4817"/>
    <w:multiLevelType w:val="multilevel"/>
    <w:tmpl w:val="B9240974"/>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1D76CC6"/>
    <w:multiLevelType w:val="multilevel"/>
    <w:tmpl w:val="61CA16B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A4C516B"/>
    <w:multiLevelType w:val="hybridMultilevel"/>
    <w:tmpl w:val="75E666B0"/>
    <w:lvl w:ilvl="0" w:tplc="0809000F">
      <w:start w:val="1"/>
      <w:numFmt w:val="decimal"/>
      <w:lvlText w:val="%1."/>
      <w:lvlJc w:val="left"/>
      <w:pPr>
        <w:ind w:left="720" w:hanging="360"/>
      </w:pPr>
    </w:lvl>
    <w:lvl w:ilvl="1" w:tplc="E910950A">
      <w:start w:val="3"/>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047326"/>
    <w:multiLevelType w:val="multilevel"/>
    <w:tmpl w:val="B6A2149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40903E0"/>
    <w:multiLevelType w:val="multilevel"/>
    <w:tmpl w:val="D1DEB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582027"/>
    <w:multiLevelType w:val="multilevel"/>
    <w:tmpl w:val="68E0FA9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E280F0E"/>
    <w:multiLevelType w:val="multilevel"/>
    <w:tmpl w:val="87869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57856650">
    <w:abstractNumId w:val="5"/>
  </w:num>
  <w:num w:numId="2" w16cid:durableId="488716360">
    <w:abstractNumId w:val="11"/>
  </w:num>
  <w:num w:numId="3" w16cid:durableId="1374964673">
    <w:abstractNumId w:val="7"/>
  </w:num>
  <w:num w:numId="4" w16cid:durableId="1571188665">
    <w:abstractNumId w:val="1"/>
  </w:num>
  <w:num w:numId="5" w16cid:durableId="618415060">
    <w:abstractNumId w:val="13"/>
  </w:num>
  <w:num w:numId="6" w16cid:durableId="1435050942">
    <w:abstractNumId w:val="3"/>
  </w:num>
  <w:num w:numId="7" w16cid:durableId="1142307613">
    <w:abstractNumId w:val="0"/>
  </w:num>
  <w:num w:numId="8" w16cid:durableId="1416393049">
    <w:abstractNumId w:val="8"/>
  </w:num>
  <w:num w:numId="9" w16cid:durableId="75521179">
    <w:abstractNumId w:val="14"/>
  </w:num>
  <w:num w:numId="10" w16cid:durableId="337464190">
    <w:abstractNumId w:val="4"/>
  </w:num>
  <w:num w:numId="11" w16cid:durableId="1052920836">
    <w:abstractNumId w:val="6"/>
  </w:num>
  <w:num w:numId="12" w16cid:durableId="1433934008">
    <w:abstractNumId w:val="15"/>
  </w:num>
  <w:num w:numId="13" w16cid:durableId="1303659083">
    <w:abstractNumId w:val="10"/>
  </w:num>
  <w:num w:numId="14" w16cid:durableId="1122724875">
    <w:abstractNumId w:val="12"/>
  </w:num>
  <w:num w:numId="15" w16cid:durableId="107701731">
    <w:abstractNumId w:val="9"/>
  </w:num>
  <w:num w:numId="16" w16cid:durableId="1931700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53"/>
    <w:rsid w:val="000D044E"/>
    <w:rsid w:val="000D265B"/>
    <w:rsid w:val="00103931"/>
    <w:rsid w:val="00144E96"/>
    <w:rsid w:val="00181A78"/>
    <w:rsid w:val="00190B08"/>
    <w:rsid w:val="001E4177"/>
    <w:rsid w:val="001F3C83"/>
    <w:rsid w:val="00201145"/>
    <w:rsid w:val="00212A53"/>
    <w:rsid w:val="0023543F"/>
    <w:rsid w:val="00333544"/>
    <w:rsid w:val="00427A63"/>
    <w:rsid w:val="00472ABF"/>
    <w:rsid w:val="00575CBC"/>
    <w:rsid w:val="005A3E7E"/>
    <w:rsid w:val="005E5A11"/>
    <w:rsid w:val="005E5F54"/>
    <w:rsid w:val="006437BA"/>
    <w:rsid w:val="006F2737"/>
    <w:rsid w:val="00725705"/>
    <w:rsid w:val="008060FF"/>
    <w:rsid w:val="00834FB6"/>
    <w:rsid w:val="00843187"/>
    <w:rsid w:val="00875677"/>
    <w:rsid w:val="008B2FF0"/>
    <w:rsid w:val="008B494E"/>
    <w:rsid w:val="008E27DC"/>
    <w:rsid w:val="00937796"/>
    <w:rsid w:val="00A118B6"/>
    <w:rsid w:val="00A85764"/>
    <w:rsid w:val="00A93B63"/>
    <w:rsid w:val="00B03708"/>
    <w:rsid w:val="00B82B9E"/>
    <w:rsid w:val="00B869A8"/>
    <w:rsid w:val="00BC5F39"/>
    <w:rsid w:val="00CB0872"/>
    <w:rsid w:val="00CC35EB"/>
    <w:rsid w:val="00CD3D34"/>
    <w:rsid w:val="00CF6621"/>
    <w:rsid w:val="00D204EB"/>
    <w:rsid w:val="00DA385A"/>
    <w:rsid w:val="00DA58B3"/>
    <w:rsid w:val="00DC0F31"/>
    <w:rsid w:val="00DC39E5"/>
    <w:rsid w:val="00E771AA"/>
    <w:rsid w:val="00EA3CFA"/>
    <w:rsid w:val="00EA60BE"/>
    <w:rsid w:val="00ED737B"/>
    <w:rsid w:val="00F06725"/>
    <w:rsid w:val="00F55634"/>
    <w:rsid w:val="00F63065"/>
    <w:rsid w:val="00F97FD9"/>
    <w:rsid w:val="00FE2B38"/>
    <w:rsid w:val="00FE4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6A11"/>
  <w15:chartTrackingRefBased/>
  <w15:docId w15:val="{996DD1BF-CFD6-4954-83E8-4B11C4FF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F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A53"/>
    <w:pPr>
      <w:ind w:left="720"/>
      <w:contextualSpacing/>
    </w:pPr>
  </w:style>
  <w:style w:type="table" w:styleId="TableGrid">
    <w:name w:val="Table Grid"/>
    <w:basedOn w:val="TableNormal"/>
    <w:uiPriority w:val="59"/>
    <w:rsid w:val="00212A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4F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FB6"/>
    <w:rPr>
      <w:sz w:val="20"/>
      <w:szCs w:val="20"/>
    </w:rPr>
  </w:style>
  <w:style w:type="character" w:styleId="FootnoteReference">
    <w:name w:val="footnote reference"/>
    <w:basedOn w:val="DefaultParagraphFont"/>
    <w:uiPriority w:val="99"/>
    <w:semiHidden/>
    <w:unhideWhenUsed/>
    <w:rsid w:val="00834FB6"/>
    <w:rPr>
      <w:vertAlign w:val="superscript"/>
    </w:rPr>
  </w:style>
  <w:style w:type="character" w:styleId="Hyperlink">
    <w:name w:val="Hyperlink"/>
    <w:basedOn w:val="DefaultParagraphFont"/>
    <w:uiPriority w:val="99"/>
    <w:unhideWhenUsed/>
    <w:rsid w:val="00834FB6"/>
    <w:rPr>
      <w:color w:val="0000FF" w:themeColor="hyperlink"/>
      <w:u w:val="single"/>
    </w:rPr>
  </w:style>
  <w:style w:type="character" w:styleId="UnresolvedMention">
    <w:name w:val="Unresolved Mention"/>
    <w:basedOn w:val="DefaultParagraphFont"/>
    <w:uiPriority w:val="99"/>
    <w:semiHidden/>
    <w:unhideWhenUsed/>
    <w:rsid w:val="00834FB6"/>
    <w:rPr>
      <w:color w:val="605E5C"/>
      <w:shd w:val="clear" w:color="auto" w:fill="E1DFDD"/>
    </w:rPr>
  </w:style>
  <w:style w:type="paragraph" w:styleId="Revision">
    <w:name w:val="Revision"/>
    <w:hidden/>
    <w:uiPriority w:val="99"/>
    <w:semiHidden/>
    <w:rsid w:val="006F2737"/>
    <w:pPr>
      <w:spacing w:after="0" w:line="240" w:lineRule="auto"/>
    </w:pPr>
  </w:style>
  <w:style w:type="character" w:styleId="CommentReference">
    <w:name w:val="annotation reference"/>
    <w:basedOn w:val="DefaultParagraphFont"/>
    <w:uiPriority w:val="99"/>
    <w:semiHidden/>
    <w:unhideWhenUsed/>
    <w:rsid w:val="008060FF"/>
    <w:rPr>
      <w:sz w:val="16"/>
      <w:szCs w:val="16"/>
    </w:rPr>
  </w:style>
  <w:style w:type="paragraph" w:styleId="CommentText">
    <w:name w:val="annotation text"/>
    <w:basedOn w:val="Normal"/>
    <w:link w:val="CommentTextChar"/>
    <w:uiPriority w:val="99"/>
    <w:semiHidden/>
    <w:unhideWhenUsed/>
    <w:rsid w:val="008060FF"/>
    <w:pPr>
      <w:spacing w:line="240" w:lineRule="auto"/>
    </w:pPr>
    <w:rPr>
      <w:sz w:val="20"/>
      <w:szCs w:val="20"/>
    </w:rPr>
  </w:style>
  <w:style w:type="character" w:customStyle="1" w:styleId="CommentTextChar">
    <w:name w:val="Comment Text Char"/>
    <w:basedOn w:val="DefaultParagraphFont"/>
    <w:link w:val="CommentText"/>
    <w:uiPriority w:val="99"/>
    <w:semiHidden/>
    <w:rsid w:val="008060FF"/>
    <w:rPr>
      <w:sz w:val="20"/>
      <w:szCs w:val="20"/>
    </w:rPr>
  </w:style>
  <w:style w:type="paragraph" w:styleId="CommentSubject">
    <w:name w:val="annotation subject"/>
    <w:basedOn w:val="CommentText"/>
    <w:next w:val="CommentText"/>
    <w:link w:val="CommentSubjectChar"/>
    <w:uiPriority w:val="99"/>
    <w:semiHidden/>
    <w:unhideWhenUsed/>
    <w:rsid w:val="008060FF"/>
    <w:rPr>
      <w:b/>
      <w:bCs/>
    </w:rPr>
  </w:style>
  <w:style w:type="character" w:customStyle="1" w:styleId="CommentSubjectChar">
    <w:name w:val="Comment Subject Char"/>
    <w:basedOn w:val="CommentTextChar"/>
    <w:link w:val="CommentSubject"/>
    <w:uiPriority w:val="99"/>
    <w:semiHidden/>
    <w:rsid w:val="008060FF"/>
    <w:rPr>
      <w:b/>
      <w:bCs/>
      <w:sz w:val="20"/>
      <w:szCs w:val="20"/>
    </w:rPr>
  </w:style>
  <w:style w:type="paragraph" w:styleId="Header">
    <w:name w:val="header"/>
    <w:basedOn w:val="Normal"/>
    <w:link w:val="HeaderChar"/>
    <w:unhideWhenUsed/>
    <w:rsid w:val="00A118B6"/>
    <w:pPr>
      <w:tabs>
        <w:tab w:val="center" w:pos="4513"/>
        <w:tab w:val="right" w:pos="9026"/>
      </w:tabs>
      <w:spacing w:after="0" w:line="240" w:lineRule="auto"/>
    </w:pPr>
  </w:style>
  <w:style w:type="character" w:customStyle="1" w:styleId="HeaderChar">
    <w:name w:val="Header Char"/>
    <w:basedOn w:val="DefaultParagraphFont"/>
    <w:link w:val="Header"/>
    <w:rsid w:val="00A118B6"/>
  </w:style>
  <w:style w:type="paragraph" w:styleId="Footer">
    <w:name w:val="footer"/>
    <w:basedOn w:val="Normal"/>
    <w:link w:val="FooterChar"/>
    <w:uiPriority w:val="99"/>
    <w:unhideWhenUsed/>
    <w:rsid w:val="00A11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8B6"/>
  </w:style>
  <w:style w:type="character" w:customStyle="1" w:styleId="Heading1Char">
    <w:name w:val="Heading 1 Char"/>
    <w:basedOn w:val="DefaultParagraphFont"/>
    <w:link w:val="Heading1"/>
    <w:uiPriority w:val="9"/>
    <w:rsid w:val="008B2FF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athspa.ac.uk/media/bathspaacuk/about-us/policies/staff/Equality-Policy.pdf" TargetMode="External"/><Relationship Id="rId2" Type="http://schemas.openxmlformats.org/officeDocument/2006/relationships/hyperlink" Target="https://www.bathspa.ac.uk/about-us/governance/board-of-governors/" TargetMode="External"/><Relationship Id="rId1" Type="http://schemas.openxmlformats.org/officeDocument/2006/relationships/hyperlink" Target="https://www.officeforstudents.org.uk/media/2a1c8d7f-9ff1-4de9-989d-a22608e43dc6/ofs2018__23.pdf" TargetMode="External"/><Relationship Id="rId5" Type="http://schemas.openxmlformats.org/officeDocument/2006/relationships/hyperlink" Target="https://www.bathspa.ac.uk/about-us/governance/financial-governance/" TargetMode="External"/><Relationship Id="rId4" Type="http://schemas.openxmlformats.org/officeDocument/2006/relationships/hyperlink" Target="https://www.bathspa.ac.uk/about-us/culture-and-values/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16E8-8A73-478C-90F9-15599863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Newman</dc:creator>
  <cp:keywords/>
  <dc:description/>
  <cp:lastModifiedBy>Ryan West</cp:lastModifiedBy>
  <cp:revision>7</cp:revision>
  <dcterms:created xsi:type="dcterms:W3CDTF">2022-10-12T13:47:00Z</dcterms:created>
  <dcterms:modified xsi:type="dcterms:W3CDTF">2022-10-13T11:01:00Z</dcterms:modified>
</cp:coreProperties>
</file>