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8751" w14:textId="4A4E7FBA" w:rsidR="004D3743" w:rsidRPr="004D3743" w:rsidRDefault="006D20D2" w:rsidP="006D20D2">
      <w:pPr>
        <w:jc w:val="right"/>
        <w:rPr>
          <w:b/>
          <w:bCs/>
        </w:rPr>
      </w:pPr>
      <w:r>
        <w:rPr>
          <w:b/>
          <w:bCs/>
          <w:noProof/>
        </w:rPr>
        <mc:AlternateContent>
          <mc:Choice Requires="wps">
            <w:drawing>
              <wp:anchor distT="0" distB="0" distL="114300" distR="114300" simplePos="0" relativeHeight="251659264" behindDoc="0" locked="0" layoutInCell="1" allowOverlap="1" wp14:anchorId="01480015" wp14:editId="4086D717">
                <wp:simplePos x="0" y="0"/>
                <wp:positionH relativeFrom="margin">
                  <wp:align>left</wp:align>
                </wp:positionH>
                <wp:positionV relativeFrom="paragraph">
                  <wp:posOffset>-3175</wp:posOffset>
                </wp:positionV>
                <wp:extent cx="4086225" cy="657225"/>
                <wp:effectExtent l="0" t="0" r="9525" b="9525"/>
                <wp:wrapNone/>
                <wp:docPr id="950169250" name="Text Box 2"/>
                <wp:cNvGraphicFramePr/>
                <a:graphic xmlns:a="http://schemas.openxmlformats.org/drawingml/2006/main">
                  <a:graphicData uri="http://schemas.microsoft.com/office/word/2010/wordprocessingShape">
                    <wps:wsp>
                      <wps:cNvSpPr txBox="1"/>
                      <wps:spPr>
                        <a:xfrm>
                          <a:off x="0" y="0"/>
                          <a:ext cx="4086225" cy="657225"/>
                        </a:xfrm>
                        <a:prstGeom prst="rect">
                          <a:avLst/>
                        </a:prstGeom>
                        <a:solidFill>
                          <a:schemeClr val="lt1"/>
                        </a:solidFill>
                        <a:ln w="6350">
                          <a:noFill/>
                        </a:ln>
                      </wps:spPr>
                      <wps:txbx>
                        <w:txbxContent>
                          <w:p w14:paraId="65E5439C" w14:textId="6A1DCB5C" w:rsidR="000242A9" w:rsidRPr="000242A9" w:rsidRDefault="000242A9" w:rsidP="006D20D2">
                            <w:pPr>
                              <w:pStyle w:val="Title"/>
                            </w:pPr>
                            <w:r w:rsidRPr="000242A9">
                              <w:t>Staff Travel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480015" id="_x0000_t202" coordsize="21600,21600" o:spt="202" path="m,l,21600r21600,l21600,xe">
                <v:stroke joinstyle="miter"/>
                <v:path gradientshapeok="t" o:connecttype="rect"/>
              </v:shapetype>
              <v:shape id="Text Box 2" o:spid="_x0000_s1026" type="#_x0000_t202" style="position:absolute;left:0;text-align:left;margin-left:0;margin-top:-.25pt;width:321.75pt;height:51.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" fillcolor="white [3201]" stroked="f" strokeweight=".5pt">
                <v:textbox>
                  <w:txbxContent>
                    <w:p w14:paraId="65E5439C" w14:textId="6A1DCB5C" w:rsidR="000242A9" w:rsidRPr="000242A9" w:rsidRDefault="000242A9" w:rsidP="006D20D2">
                      <w:pPr>
                        <w:pStyle w:val="Title"/>
                      </w:pPr>
                      <w:r w:rsidRPr="000242A9">
                        <w:t>Staff Travel Policy</w:t>
                      </w:r>
                    </w:p>
                  </w:txbxContent>
                </v:textbox>
                <w10:wrap anchorx="margin"/>
              </v:shape>
            </w:pict>
          </mc:Fallback>
        </mc:AlternateContent>
      </w:r>
      <w:r>
        <w:rPr>
          <w:rFonts w:ascii="Arial" w:hAnsi="Arial" w:cs="Arial"/>
          <w:b/>
          <w:bCs/>
          <w:noProof/>
        </w:rPr>
        <w:drawing>
          <wp:inline distT="0" distB="0" distL="0" distR="0" wp14:anchorId="2721D320" wp14:editId="4ABEB906">
            <wp:extent cx="1035271" cy="1028274"/>
            <wp:effectExtent l="0" t="0" r="0" b="635"/>
            <wp:docPr id="672779745" name="Picture 1"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79745" name="Picture 1" descr="BSU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444" cy="1036392"/>
                    </a:xfrm>
                    <a:prstGeom prst="rect">
                      <a:avLst/>
                    </a:prstGeom>
                  </pic:spPr>
                </pic:pic>
              </a:graphicData>
            </a:graphic>
          </wp:inline>
        </w:drawing>
      </w:r>
    </w:p>
    <w:p w14:paraId="731F3370" w14:textId="77777777" w:rsidR="000242A9" w:rsidRDefault="000242A9" w:rsidP="004D3743">
      <w:pPr>
        <w:rPr>
          <w:b/>
          <w:bCs/>
        </w:rPr>
      </w:pPr>
    </w:p>
    <w:p w14:paraId="5904D917" w14:textId="74A6E56F" w:rsidR="000242A9" w:rsidRDefault="000242A9" w:rsidP="004D3743">
      <w:pPr>
        <w:rPr>
          <w:b/>
          <w:bCs/>
        </w:rPr>
      </w:pPr>
    </w:p>
    <w:p w14:paraId="3C67E008" w14:textId="77777777" w:rsidR="000242A9" w:rsidRDefault="000242A9" w:rsidP="004D3743">
      <w:pPr>
        <w:rPr>
          <w:b/>
          <w:bCs/>
        </w:rPr>
      </w:pPr>
    </w:p>
    <w:p w14:paraId="4502F5A7" w14:textId="77777777" w:rsidR="000242A9" w:rsidRDefault="000242A9" w:rsidP="004D3743">
      <w:pPr>
        <w:rPr>
          <w:b/>
          <w:bCs/>
        </w:rPr>
      </w:pPr>
    </w:p>
    <w:p w14:paraId="3DBB27E7" w14:textId="77777777" w:rsidR="000242A9" w:rsidRDefault="000242A9" w:rsidP="004D3743">
      <w:pPr>
        <w:rPr>
          <w:b/>
          <w:bCs/>
        </w:rPr>
      </w:pPr>
    </w:p>
    <w:p w14:paraId="434A8419" w14:textId="77777777" w:rsidR="000242A9" w:rsidRDefault="000242A9" w:rsidP="004D3743">
      <w:pPr>
        <w:rPr>
          <w:b/>
          <w:bCs/>
        </w:rPr>
      </w:pPr>
    </w:p>
    <w:p w14:paraId="3B559010" w14:textId="77777777" w:rsidR="000242A9" w:rsidRDefault="000242A9" w:rsidP="004D3743">
      <w:pPr>
        <w:rPr>
          <w:b/>
          <w:bCs/>
        </w:rPr>
      </w:pPr>
    </w:p>
    <w:p w14:paraId="63B314E8" w14:textId="77777777" w:rsidR="000242A9" w:rsidRDefault="000242A9" w:rsidP="004D3743">
      <w:pPr>
        <w:rPr>
          <w:b/>
          <w:bCs/>
        </w:rPr>
      </w:pPr>
    </w:p>
    <w:p w14:paraId="7B9452DB" w14:textId="77777777" w:rsidR="000242A9" w:rsidRDefault="000242A9" w:rsidP="008A736F">
      <w:pPr>
        <w:jc w:val="center"/>
        <w:rPr>
          <w:b/>
          <w:bCs/>
        </w:rPr>
      </w:pPr>
    </w:p>
    <w:p w14:paraId="7A863F9B" w14:textId="77777777" w:rsidR="000242A9" w:rsidRDefault="000242A9" w:rsidP="004D3743">
      <w:pPr>
        <w:rPr>
          <w:b/>
          <w:bCs/>
        </w:rPr>
      </w:pPr>
    </w:p>
    <w:p w14:paraId="2762ECB0" w14:textId="77777777" w:rsidR="000242A9" w:rsidRDefault="000242A9" w:rsidP="004D3743">
      <w:pPr>
        <w:rPr>
          <w:b/>
          <w:bCs/>
        </w:rPr>
      </w:pPr>
    </w:p>
    <w:p w14:paraId="6663BD1F" w14:textId="77777777" w:rsidR="000242A9" w:rsidRDefault="000242A9" w:rsidP="004D3743">
      <w:pPr>
        <w:rPr>
          <w:b/>
          <w:bCs/>
        </w:rPr>
      </w:pPr>
    </w:p>
    <w:p w14:paraId="61062CEA" w14:textId="77777777" w:rsidR="000242A9" w:rsidRDefault="000242A9" w:rsidP="004D3743">
      <w:pPr>
        <w:rPr>
          <w:b/>
          <w:bCs/>
        </w:rPr>
      </w:pPr>
    </w:p>
    <w:p w14:paraId="2C7458AA" w14:textId="77777777" w:rsidR="000242A9" w:rsidRDefault="000242A9" w:rsidP="004D3743">
      <w:pPr>
        <w:rPr>
          <w:b/>
          <w:bCs/>
        </w:rPr>
      </w:pPr>
    </w:p>
    <w:p w14:paraId="58D494AF" w14:textId="52742CB8" w:rsidR="008A736F" w:rsidRPr="008A736F" w:rsidRDefault="008A736F" w:rsidP="008A736F">
      <w:r w:rsidRPr="006D20D2">
        <w:rPr>
          <w:b/>
          <w:bCs/>
        </w:rPr>
        <w:t>Responsible Office</w:t>
      </w:r>
      <w:r w:rsidRPr="008A736F">
        <w:tab/>
      </w:r>
      <w:r>
        <w:tab/>
      </w:r>
      <w:r w:rsidR="006D20D2">
        <w:tab/>
      </w:r>
      <w:r w:rsidRPr="008A736F">
        <w:t>Estates and Services (sustainability)</w:t>
      </w:r>
    </w:p>
    <w:p w14:paraId="6E58DE3B" w14:textId="642A1D2D" w:rsidR="008A736F" w:rsidRPr="008A736F" w:rsidRDefault="008A736F" w:rsidP="008A736F">
      <w:r w:rsidRPr="006D20D2">
        <w:rPr>
          <w:b/>
          <w:bCs/>
        </w:rPr>
        <w:t>Responsible Officer</w:t>
      </w:r>
      <w:r w:rsidRPr="006D20D2">
        <w:rPr>
          <w:b/>
          <w:bCs/>
        </w:rPr>
        <w:tab/>
      </w:r>
      <w:r>
        <w:tab/>
      </w:r>
      <w:r w:rsidRPr="008A736F">
        <w:t>Sustainability Manager</w:t>
      </w:r>
    </w:p>
    <w:p w14:paraId="62526369" w14:textId="614941F5" w:rsidR="008A736F" w:rsidRPr="008A736F" w:rsidRDefault="008A736F" w:rsidP="008A736F">
      <w:r w:rsidRPr="006D20D2">
        <w:rPr>
          <w:b/>
          <w:bCs/>
        </w:rPr>
        <w:t>Approving Authority</w:t>
      </w:r>
      <w:r w:rsidRPr="006D20D2">
        <w:rPr>
          <w:b/>
          <w:bCs/>
        </w:rPr>
        <w:tab/>
      </w:r>
      <w:r>
        <w:tab/>
      </w:r>
      <w:r w:rsidR="006D20D2">
        <w:tab/>
      </w:r>
      <w:r w:rsidRPr="008A736F">
        <w:t>SSG</w:t>
      </w:r>
    </w:p>
    <w:p w14:paraId="0DBC953B" w14:textId="03760277" w:rsidR="008A736F" w:rsidRPr="008A736F" w:rsidRDefault="008A736F" w:rsidP="008A736F">
      <w:r w:rsidRPr="006D20D2">
        <w:rPr>
          <w:b/>
          <w:bCs/>
        </w:rPr>
        <w:t>Date of Approval</w:t>
      </w:r>
      <w:r w:rsidRPr="008A736F">
        <w:tab/>
      </w:r>
      <w:r>
        <w:tab/>
      </w:r>
      <w:r w:rsidR="006D20D2">
        <w:tab/>
      </w:r>
      <w:r w:rsidRPr="008A736F">
        <w:t>June 2025</w:t>
      </w:r>
    </w:p>
    <w:p w14:paraId="16B5A2FF" w14:textId="157111E9" w:rsidR="008A736F" w:rsidRPr="008A736F" w:rsidRDefault="008A736F" w:rsidP="008A736F">
      <w:r w:rsidRPr="006D20D2">
        <w:rPr>
          <w:b/>
          <w:bCs/>
        </w:rPr>
        <w:t>Effective Date</w:t>
      </w:r>
      <w:r w:rsidRPr="006D20D2">
        <w:rPr>
          <w:b/>
          <w:bCs/>
        </w:rPr>
        <w:tab/>
      </w:r>
      <w:r>
        <w:tab/>
      </w:r>
      <w:r>
        <w:tab/>
      </w:r>
      <w:r w:rsidRPr="008A736F">
        <w:t>June 2025</w:t>
      </w:r>
    </w:p>
    <w:p w14:paraId="513ACAB5" w14:textId="0EAC4F97" w:rsidR="008A736F" w:rsidRPr="008A736F" w:rsidRDefault="008A736F" w:rsidP="008A736F">
      <w:r w:rsidRPr="006D20D2">
        <w:rPr>
          <w:b/>
          <w:bCs/>
        </w:rPr>
        <w:t>Related Procedures</w:t>
      </w:r>
      <w:r w:rsidRPr="008A736F">
        <w:tab/>
      </w:r>
      <w:r>
        <w:tab/>
      </w:r>
      <w:r w:rsidR="006D20D2">
        <w:tab/>
      </w:r>
      <w:r w:rsidRPr="008A736F">
        <w:t>Financial Regulations</w:t>
      </w:r>
    </w:p>
    <w:p w14:paraId="577F52D3" w14:textId="77777777" w:rsidR="008A736F" w:rsidRPr="008A736F" w:rsidRDefault="008A736F" w:rsidP="008A736F">
      <w:r w:rsidRPr="006D20D2">
        <w:rPr>
          <w:b/>
          <w:bCs/>
        </w:rPr>
        <w:t>Related University Policies</w:t>
      </w:r>
      <w:r w:rsidRPr="008A736F">
        <w:tab/>
        <w:t>Staff Expense Policy</w:t>
      </w:r>
    </w:p>
    <w:p w14:paraId="4A995705" w14:textId="77777777" w:rsidR="008A736F" w:rsidRPr="006D20D2" w:rsidRDefault="008A736F" w:rsidP="008A736F">
      <w:pPr>
        <w:rPr>
          <w:b/>
          <w:bCs/>
        </w:rPr>
      </w:pPr>
      <w:r w:rsidRPr="006D20D2">
        <w:rPr>
          <w:b/>
          <w:bCs/>
        </w:rPr>
        <w:t>Amended</w:t>
      </w:r>
      <w:r w:rsidRPr="006D20D2">
        <w:rPr>
          <w:b/>
          <w:bCs/>
        </w:rPr>
        <w:tab/>
      </w:r>
    </w:p>
    <w:p w14:paraId="77AC4A02" w14:textId="77777777" w:rsidR="008A736F" w:rsidRPr="006D20D2" w:rsidRDefault="008A736F" w:rsidP="008A736F">
      <w:pPr>
        <w:rPr>
          <w:b/>
          <w:bCs/>
        </w:rPr>
      </w:pPr>
      <w:r w:rsidRPr="006D20D2">
        <w:rPr>
          <w:b/>
          <w:bCs/>
        </w:rPr>
        <w:t>Supersedes</w:t>
      </w:r>
      <w:r w:rsidRPr="006D20D2">
        <w:rPr>
          <w:b/>
          <w:bCs/>
        </w:rPr>
        <w:tab/>
      </w:r>
    </w:p>
    <w:p w14:paraId="64600C01" w14:textId="4DE46B14" w:rsidR="000242A9" w:rsidRPr="008A736F" w:rsidRDefault="008A736F" w:rsidP="008A736F">
      <w:r w:rsidRPr="006D20D2">
        <w:rPr>
          <w:b/>
          <w:bCs/>
        </w:rPr>
        <w:t>Next Review Date</w:t>
      </w:r>
      <w:r w:rsidRPr="008A736F">
        <w:tab/>
      </w:r>
      <w:r>
        <w:tab/>
      </w:r>
      <w:r w:rsidR="006D20D2">
        <w:tab/>
      </w:r>
      <w:r w:rsidRPr="008A736F">
        <w:t>June 2026</w:t>
      </w:r>
    </w:p>
    <w:p w14:paraId="0FC0D8A2" w14:textId="0A281364" w:rsidR="004D3743" w:rsidRPr="008A736F" w:rsidRDefault="004D3743" w:rsidP="006D20D2">
      <w:pPr>
        <w:pStyle w:val="Heading1"/>
        <w:numPr>
          <w:ilvl w:val="0"/>
          <w:numId w:val="11"/>
        </w:numPr>
      </w:pPr>
      <w:r w:rsidRPr="008A736F">
        <w:lastRenderedPageBreak/>
        <w:t xml:space="preserve">Purpose </w:t>
      </w:r>
    </w:p>
    <w:p w14:paraId="0E88C5DA" w14:textId="3A88AE59" w:rsidR="004D3743" w:rsidRDefault="004D3743" w:rsidP="00C35852">
      <w:r w:rsidRPr="004D3743">
        <w:t>The purpose of this policy is to assist staff in helping them to comply with the University’s requirements, to understand what can and cannot be claimed for and what is considered reasonable.</w:t>
      </w:r>
    </w:p>
    <w:p w14:paraId="1F8BF5C2" w14:textId="4A705DE7" w:rsidR="004D3743" w:rsidRDefault="004D3743" w:rsidP="00C35852">
      <w:r w:rsidRPr="004D3743">
        <w:t xml:space="preserve"> Compliance with the policy provides staff protection from unwarranted accusations as well as helping the University achieve its sustainable travel and value for money objectives. </w:t>
      </w:r>
      <w:r w:rsidR="0016618D">
        <w:t xml:space="preserve">This policy supports our Sustainability Strategy and </w:t>
      </w:r>
      <w:r w:rsidR="003E1933">
        <w:t xml:space="preserve">aims to contribute to BSU’s </w:t>
      </w:r>
      <w:r w:rsidR="0016618D">
        <w:t>goal to become net zero</w:t>
      </w:r>
      <w:r w:rsidR="00B642AB">
        <w:t xml:space="preserve"> by encouraging low carbon </w:t>
      </w:r>
      <w:proofErr w:type="gramStart"/>
      <w:r w:rsidR="00B642AB">
        <w:t>travel, and</w:t>
      </w:r>
      <w:proofErr w:type="gramEnd"/>
      <w:r w:rsidR="00B642AB">
        <w:t xml:space="preserve"> </w:t>
      </w:r>
      <w:r w:rsidR="002417F4">
        <w:t>discouraging</w:t>
      </w:r>
      <w:r w:rsidR="00B642AB">
        <w:t xml:space="preserve"> carbon in</w:t>
      </w:r>
      <w:r w:rsidR="002417F4">
        <w:t>tensive methods of travel</w:t>
      </w:r>
      <w:r w:rsidR="0016618D">
        <w:t>.</w:t>
      </w:r>
    </w:p>
    <w:p w14:paraId="156DD61E" w14:textId="339F4C82" w:rsidR="004D3743" w:rsidRDefault="004D3743" w:rsidP="006D20D2">
      <w:pPr>
        <w:pStyle w:val="Heading1"/>
      </w:pPr>
      <w:r w:rsidRPr="004D3743">
        <w:t xml:space="preserve"> </w:t>
      </w:r>
      <w:r>
        <w:t>2.</w:t>
      </w:r>
      <w:r>
        <w:tab/>
      </w:r>
      <w:r w:rsidRPr="004D3743">
        <w:t>Definitions</w:t>
      </w:r>
    </w:p>
    <w:p w14:paraId="15BBB99D" w14:textId="448304CD" w:rsidR="004D3743" w:rsidRDefault="004D3743" w:rsidP="00C35852">
      <w:r w:rsidRPr="004D3743">
        <w:t xml:space="preserve"> “Staff” </w:t>
      </w:r>
      <w:r>
        <w:t>mean</w:t>
      </w:r>
      <w:r w:rsidR="1E62353F">
        <w:t>s</w:t>
      </w:r>
      <w:r>
        <w:t xml:space="preserve"> </w:t>
      </w:r>
      <w:r w:rsidRPr="004D3743">
        <w:t xml:space="preserve">all employees employed by </w:t>
      </w:r>
      <w:r w:rsidR="46DC55DC">
        <w:t>the</w:t>
      </w:r>
      <w:r w:rsidRPr="004D3743">
        <w:t xml:space="preserve"> University. “University” means Bath Spa University. </w:t>
      </w:r>
      <w:r w:rsidR="00CE37DA">
        <w:t>“</w:t>
      </w:r>
      <w:r w:rsidR="00E615B2">
        <w:t>Travel Management Company</w:t>
      </w:r>
      <w:r w:rsidR="00CE37DA">
        <w:t>” refers to Key Travel.</w:t>
      </w:r>
    </w:p>
    <w:p w14:paraId="08BBF0CC" w14:textId="12D8486A" w:rsidR="004D3743" w:rsidRDefault="004D3743" w:rsidP="006D20D2">
      <w:pPr>
        <w:pStyle w:val="Heading1"/>
      </w:pPr>
      <w:r w:rsidRPr="004D3743">
        <w:t>3</w:t>
      </w:r>
      <w:r w:rsidR="006D20D2">
        <w:t>.</w:t>
      </w:r>
      <w:r w:rsidRPr="004D3743">
        <w:t xml:space="preserve"> </w:t>
      </w:r>
      <w:r>
        <w:tab/>
      </w:r>
      <w:r w:rsidRPr="004D3743">
        <w:t xml:space="preserve">Policy Statement </w:t>
      </w:r>
    </w:p>
    <w:p w14:paraId="52E42AD2" w14:textId="77777777" w:rsidR="00592BF1" w:rsidRDefault="004D3743" w:rsidP="00C35852">
      <w:r w:rsidRPr="004D3743">
        <w:t xml:space="preserve">This policy sets out the rules </w:t>
      </w:r>
      <w:r>
        <w:t xml:space="preserve">for Travelling on University Business.  </w:t>
      </w:r>
    </w:p>
    <w:p w14:paraId="6B67B434" w14:textId="7F7421A0" w:rsidR="00592BF1" w:rsidRPr="00592BF1" w:rsidRDefault="004D3743" w:rsidP="006D20D2">
      <w:pPr>
        <w:pStyle w:val="Heading2"/>
      </w:pPr>
      <w:r w:rsidRPr="00592BF1">
        <w:t>Value for Money</w:t>
      </w:r>
    </w:p>
    <w:p w14:paraId="34A98494" w14:textId="0E99040F" w:rsidR="00592BF1" w:rsidRDefault="004D3743" w:rsidP="00C35852">
      <w:r>
        <w:t xml:space="preserve">In planning and procuring their travel arrangements staff must ensure they achieve best value. </w:t>
      </w:r>
      <w:r w:rsidR="0EFF9414">
        <w:t>All travel arrangements</w:t>
      </w:r>
      <w:r w:rsidR="00FB7FDD">
        <w:t xml:space="preserve"> should be booked in advance through the University’s approved travel management company</w:t>
      </w:r>
      <w:r w:rsidR="5B7826E2">
        <w:t xml:space="preserve"> </w:t>
      </w:r>
      <w:hyperlink r:id="rId11" w:history="1">
        <w:r w:rsidR="006A470E" w:rsidRPr="000D4E26">
          <w:rPr>
            <w:rStyle w:val="Hyperlink"/>
          </w:rPr>
          <w:t>Key</w:t>
        </w:r>
        <w:r w:rsidR="000D4E26" w:rsidRPr="000D4E26">
          <w:rPr>
            <w:rStyle w:val="Hyperlink"/>
          </w:rPr>
          <w:t xml:space="preserve"> T</w:t>
        </w:r>
        <w:r w:rsidR="006A470E" w:rsidRPr="000D4E26">
          <w:rPr>
            <w:rStyle w:val="Hyperlink"/>
          </w:rPr>
          <w:t>ravel</w:t>
        </w:r>
      </w:hyperlink>
      <w:r w:rsidR="00FB7FDD">
        <w:t>.</w:t>
      </w:r>
    </w:p>
    <w:p w14:paraId="63B331E0" w14:textId="271F1F21" w:rsidR="0040251D" w:rsidRPr="0040251D" w:rsidRDefault="0040251D" w:rsidP="006D20D2">
      <w:pPr>
        <w:pStyle w:val="Heading2"/>
      </w:pPr>
      <w:r w:rsidRPr="0040251D">
        <w:t xml:space="preserve">Sustainability </w:t>
      </w:r>
    </w:p>
    <w:p w14:paraId="3ADA5532" w14:textId="400A1977" w:rsidR="005E6E68" w:rsidRDefault="00984493" w:rsidP="00C35852">
      <w:r>
        <w:t xml:space="preserve">Travel accounts for </w:t>
      </w:r>
      <w:r w:rsidR="3BBAB801">
        <w:t>a</w:t>
      </w:r>
      <w:r>
        <w:t xml:space="preserve"> significant </w:t>
      </w:r>
      <w:r w:rsidR="005D417C">
        <w:t xml:space="preserve">share of the University’s carbon footprint. </w:t>
      </w:r>
      <w:r w:rsidR="00592BF1">
        <w:t xml:space="preserve">Consideration should be given to </w:t>
      </w:r>
      <w:r w:rsidR="00B7254E">
        <w:t xml:space="preserve">ensure the most sustainable option has been chosen for travel arrangements. </w:t>
      </w:r>
      <w:r w:rsidR="005E6E68">
        <w:t>The travel hierarchy should be utilised wherever possible</w:t>
      </w:r>
      <w:r w:rsidR="0012174D">
        <w:t xml:space="preserve">, with mode of travel selected </w:t>
      </w:r>
      <w:r w:rsidR="004A4A97">
        <w:t>from lower on the hierarchy</w:t>
      </w:r>
      <w:r w:rsidR="006C78D0">
        <w:t xml:space="preserve"> to reduce the impact of business travel</w:t>
      </w:r>
      <w:r w:rsidR="005E6E68">
        <w:t>:</w:t>
      </w:r>
    </w:p>
    <w:tbl>
      <w:tblPr>
        <w:tblStyle w:val="TableGrid"/>
        <w:tblW w:w="9067" w:type="dxa"/>
        <w:tblLook w:val="04A0" w:firstRow="1" w:lastRow="0" w:firstColumn="1" w:lastColumn="0" w:noHBand="0" w:noVBand="1"/>
        <w:tblCaption w:val="Table showing hierarchy of mode of transport according to emissions of co2 per km"/>
        <w:tblDescription w:val="Hierarchy place: 0 Mode of transport: Active Transport (e.g. cycling, walking) Emissions (gCO2e) per person per km:  0&#10; Hierarchy place: 1 Mode of transport: Eurostar Emissions (gCO2e) per person per km:  4&#10;Hierarchy place: 2 Mode of transport: Coach Emissions (gCO2e) per person per km:  27&#10;Hierarchy place: 3 Mode of transport: Domestic rail Emissions (gCO2e) per person per km:  35&#10;Hierarchy place: 4 Mode of transport: Car (four passengers) Emissions (gCO2e) per person per km:  42&#10;Hierarchy place: 5 Mode of transport: Local bus (not London) Emissions (gCO2e) per person per km:  123&#10;Hierarchy place: 6 Mode of transport: Ferry Emissions (gCO2e) per person per km:  113&#10;Hierarchy place: 7 Mode of transport: Taxi Emissions (gCO2e) per person per km:  148&#10;Hierarchy place: 8 Mode of transport: Car (one passenger) Emissions (gCO2e) per person per km:  166&#10;&#10;Hierarchy place: 9 Mode of transport: Long-haul flight Emissions (gCO2e) per person per km:  261&#10;&#10;Hierarchy place: 7 Mode of transport: Domestic flight Emissions (gCO2e) per person per km:  272&#10;"/>
      </w:tblPr>
      <w:tblGrid>
        <w:gridCol w:w="1612"/>
        <w:gridCol w:w="4479"/>
        <w:gridCol w:w="2976"/>
      </w:tblGrid>
      <w:tr w:rsidR="007C7662" w14:paraId="704CDD3C" w14:textId="77777777" w:rsidTr="006D20D2">
        <w:trPr>
          <w:tblHeader/>
        </w:trPr>
        <w:tc>
          <w:tcPr>
            <w:tcW w:w="1612" w:type="dxa"/>
          </w:tcPr>
          <w:p w14:paraId="195B33F5" w14:textId="17308A0E" w:rsidR="007C7662" w:rsidRPr="006D20D2" w:rsidRDefault="007C7662" w:rsidP="00C35852">
            <w:pPr>
              <w:rPr>
                <w:b/>
                <w:bCs/>
              </w:rPr>
            </w:pPr>
            <w:r w:rsidRPr="006D20D2">
              <w:rPr>
                <w:b/>
                <w:bCs/>
              </w:rPr>
              <w:lastRenderedPageBreak/>
              <w:t>Hierarchy place</w:t>
            </w:r>
          </w:p>
        </w:tc>
        <w:tc>
          <w:tcPr>
            <w:tcW w:w="4479" w:type="dxa"/>
          </w:tcPr>
          <w:p w14:paraId="5A4EB0EA" w14:textId="14945DED" w:rsidR="007C7662" w:rsidRPr="006D20D2" w:rsidRDefault="007C7662" w:rsidP="00C35852">
            <w:pPr>
              <w:rPr>
                <w:b/>
                <w:bCs/>
              </w:rPr>
            </w:pPr>
            <w:r w:rsidRPr="006D20D2">
              <w:rPr>
                <w:b/>
                <w:bCs/>
              </w:rPr>
              <w:t>Mode of transport</w:t>
            </w:r>
          </w:p>
        </w:tc>
        <w:tc>
          <w:tcPr>
            <w:tcW w:w="2976" w:type="dxa"/>
          </w:tcPr>
          <w:p w14:paraId="17E5DA2D" w14:textId="02FFB2B3" w:rsidR="007C7662" w:rsidRPr="006D20D2" w:rsidRDefault="007C7662" w:rsidP="00C35852">
            <w:pPr>
              <w:rPr>
                <w:b/>
                <w:bCs/>
              </w:rPr>
            </w:pPr>
            <w:r w:rsidRPr="006D20D2">
              <w:rPr>
                <w:b/>
                <w:bCs/>
              </w:rPr>
              <w:t>Emissions (</w:t>
            </w:r>
            <w:r w:rsidR="00562D58" w:rsidRPr="006D20D2">
              <w:rPr>
                <w:b/>
                <w:bCs/>
              </w:rPr>
              <w:t>g</w:t>
            </w:r>
            <w:r w:rsidRPr="006D20D2">
              <w:rPr>
                <w:b/>
                <w:bCs/>
              </w:rPr>
              <w:t>CO2e)</w:t>
            </w:r>
            <w:r w:rsidR="004970E1" w:rsidRPr="006D20D2">
              <w:rPr>
                <w:b/>
                <w:bCs/>
              </w:rPr>
              <w:t xml:space="preserve"> per person per </w:t>
            </w:r>
            <w:r w:rsidR="00265D53" w:rsidRPr="006D20D2">
              <w:rPr>
                <w:b/>
                <w:bCs/>
              </w:rPr>
              <w:t>kilometre</w:t>
            </w:r>
          </w:p>
        </w:tc>
      </w:tr>
      <w:tr w:rsidR="000030C6" w14:paraId="6EA2C43D" w14:textId="77777777" w:rsidTr="006D20D2">
        <w:trPr>
          <w:tblHeader/>
        </w:trPr>
        <w:tc>
          <w:tcPr>
            <w:tcW w:w="1612" w:type="dxa"/>
          </w:tcPr>
          <w:p w14:paraId="30904644" w14:textId="4BF062A6" w:rsidR="000030C6" w:rsidRPr="00D47E01" w:rsidRDefault="000030C6" w:rsidP="00B91B3B">
            <w:pPr>
              <w:rPr>
                <w:rFonts w:cs="Noto Sans"/>
                <w:color w:val="202329"/>
              </w:rPr>
            </w:pPr>
            <w:r w:rsidRPr="00D47E01">
              <w:rPr>
                <w:rFonts w:cs="Noto Sans"/>
                <w:color w:val="202329"/>
              </w:rPr>
              <w:t>0</w:t>
            </w:r>
          </w:p>
        </w:tc>
        <w:tc>
          <w:tcPr>
            <w:tcW w:w="4479" w:type="dxa"/>
            <w:vAlign w:val="center"/>
          </w:tcPr>
          <w:p w14:paraId="29E46F7A" w14:textId="4042562A" w:rsidR="000030C6" w:rsidRPr="00D47E01" w:rsidRDefault="000030C6" w:rsidP="00B91B3B">
            <w:pPr>
              <w:rPr>
                <w:rFonts w:cs="Noto Sans"/>
                <w:color w:val="202329"/>
              </w:rPr>
            </w:pPr>
            <w:r w:rsidRPr="00D47E01">
              <w:rPr>
                <w:rFonts w:cs="Noto Sans"/>
                <w:color w:val="202329"/>
              </w:rPr>
              <w:t>Active Transport (e.g. cycling, walking)</w:t>
            </w:r>
          </w:p>
        </w:tc>
        <w:tc>
          <w:tcPr>
            <w:tcW w:w="2976" w:type="dxa"/>
            <w:vAlign w:val="center"/>
          </w:tcPr>
          <w:p w14:paraId="3B956DD1" w14:textId="60054887" w:rsidR="000030C6" w:rsidRPr="00D47E01" w:rsidRDefault="000030C6" w:rsidP="00B91B3B">
            <w:r w:rsidRPr="00D47E01">
              <w:t>0</w:t>
            </w:r>
          </w:p>
        </w:tc>
      </w:tr>
      <w:tr w:rsidR="007C7662" w14:paraId="7C5E5FF0" w14:textId="77777777" w:rsidTr="006D20D2">
        <w:trPr>
          <w:tblHeader/>
        </w:trPr>
        <w:tc>
          <w:tcPr>
            <w:tcW w:w="1612" w:type="dxa"/>
          </w:tcPr>
          <w:p w14:paraId="72448CB2" w14:textId="20E76CA9" w:rsidR="007C7662" w:rsidRPr="00D47E01" w:rsidRDefault="00B06A23" w:rsidP="00B91B3B">
            <w:pPr>
              <w:rPr>
                <w:rFonts w:cs="Noto Sans"/>
                <w:color w:val="202329"/>
              </w:rPr>
            </w:pPr>
            <w:r w:rsidRPr="00D47E01">
              <w:rPr>
                <w:rFonts w:cs="Noto Sans"/>
                <w:color w:val="202329"/>
              </w:rPr>
              <w:t>1</w:t>
            </w:r>
          </w:p>
        </w:tc>
        <w:tc>
          <w:tcPr>
            <w:tcW w:w="4479" w:type="dxa"/>
            <w:vAlign w:val="center"/>
          </w:tcPr>
          <w:p w14:paraId="4FD03803" w14:textId="5CC0FA05" w:rsidR="007C7662" w:rsidRPr="00D47E01" w:rsidRDefault="007C7662" w:rsidP="00B91B3B">
            <w:r w:rsidRPr="00D47E01">
              <w:rPr>
                <w:rFonts w:cs="Noto Sans"/>
                <w:color w:val="202329"/>
              </w:rPr>
              <w:t>Eurostar</w:t>
            </w:r>
          </w:p>
        </w:tc>
        <w:tc>
          <w:tcPr>
            <w:tcW w:w="2976" w:type="dxa"/>
            <w:vAlign w:val="center"/>
          </w:tcPr>
          <w:p w14:paraId="0201B69E" w14:textId="60A79FFD" w:rsidR="007C7662" w:rsidRPr="00D47E01" w:rsidRDefault="00265D53" w:rsidP="00B91B3B">
            <w:r w:rsidRPr="00D47E01">
              <w:t>4</w:t>
            </w:r>
          </w:p>
        </w:tc>
      </w:tr>
      <w:tr w:rsidR="007C7662" w14:paraId="658F403A" w14:textId="77777777" w:rsidTr="006D20D2">
        <w:trPr>
          <w:tblHeader/>
        </w:trPr>
        <w:tc>
          <w:tcPr>
            <w:tcW w:w="1612" w:type="dxa"/>
          </w:tcPr>
          <w:p w14:paraId="53DA3679" w14:textId="69405D3E" w:rsidR="007C7662" w:rsidRPr="00D47E01" w:rsidRDefault="00B06A23" w:rsidP="00B91B3B">
            <w:pPr>
              <w:rPr>
                <w:rFonts w:cs="Noto Sans"/>
                <w:color w:val="202329"/>
              </w:rPr>
            </w:pPr>
            <w:r w:rsidRPr="00D47E01">
              <w:rPr>
                <w:rFonts w:cs="Noto Sans"/>
                <w:color w:val="202329"/>
              </w:rPr>
              <w:t>2</w:t>
            </w:r>
          </w:p>
        </w:tc>
        <w:tc>
          <w:tcPr>
            <w:tcW w:w="4479" w:type="dxa"/>
            <w:vAlign w:val="center"/>
          </w:tcPr>
          <w:p w14:paraId="4B936B1B" w14:textId="4F8F9F2C" w:rsidR="007C7662" w:rsidRPr="00D47E01" w:rsidRDefault="007C7662" w:rsidP="00B91B3B">
            <w:r w:rsidRPr="00D47E01">
              <w:rPr>
                <w:rFonts w:cs="Noto Sans"/>
                <w:color w:val="202329"/>
              </w:rPr>
              <w:t>Coach</w:t>
            </w:r>
          </w:p>
        </w:tc>
        <w:tc>
          <w:tcPr>
            <w:tcW w:w="2976" w:type="dxa"/>
            <w:vAlign w:val="center"/>
          </w:tcPr>
          <w:p w14:paraId="7180BA74" w14:textId="5B9C0824" w:rsidR="007C7662" w:rsidRPr="00D47E01" w:rsidRDefault="00DA2786" w:rsidP="00B91B3B">
            <w:r w:rsidRPr="00D47E01">
              <w:t>27</w:t>
            </w:r>
          </w:p>
        </w:tc>
      </w:tr>
      <w:tr w:rsidR="007C7662" w14:paraId="00F30665" w14:textId="77777777" w:rsidTr="006D20D2">
        <w:trPr>
          <w:tblHeader/>
        </w:trPr>
        <w:tc>
          <w:tcPr>
            <w:tcW w:w="1612" w:type="dxa"/>
          </w:tcPr>
          <w:p w14:paraId="3E6FB5F3" w14:textId="65460929" w:rsidR="007C7662" w:rsidRPr="00D47E01" w:rsidRDefault="00B06A23" w:rsidP="00B91B3B">
            <w:pPr>
              <w:rPr>
                <w:rFonts w:cs="Noto Sans"/>
                <w:color w:val="202329"/>
              </w:rPr>
            </w:pPr>
            <w:r w:rsidRPr="00D47E01">
              <w:rPr>
                <w:rFonts w:cs="Noto Sans"/>
                <w:color w:val="202329"/>
              </w:rPr>
              <w:t>3</w:t>
            </w:r>
          </w:p>
        </w:tc>
        <w:tc>
          <w:tcPr>
            <w:tcW w:w="4479" w:type="dxa"/>
            <w:vAlign w:val="center"/>
          </w:tcPr>
          <w:p w14:paraId="439FE715" w14:textId="292D0042" w:rsidR="007C7662" w:rsidRPr="00D47E01" w:rsidRDefault="007C7662" w:rsidP="00B91B3B">
            <w:r w:rsidRPr="00D47E01">
              <w:rPr>
                <w:rFonts w:cs="Noto Sans"/>
                <w:color w:val="202329"/>
              </w:rPr>
              <w:t>Domestic rail</w:t>
            </w:r>
          </w:p>
        </w:tc>
        <w:tc>
          <w:tcPr>
            <w:tcW w:w="2976" w:type="dxa"/>
            <w:vAlign w:val="center"/>
          </w:tcPr>
          <w:p w14:paraId="6870EDB0" w14:textId="2C0CAD30" w:rsidR="007C7662" w:rsidRPr="00D47E01" w:rsidRDefault="00A54CC6" w:rsidP="00B91B3B">
            <w:r w:rsidRPr="00D47E01">
              <w:t>35</w:t>
            </w:r>
          </w:p>
        </w:tc>
      </w:tr>
      <w:tr w:rsidR="007C7662" w14:paraId="3BE8C2C9" w14:textId="77777777" w:rsidTr="006D20D2">
        <w:trPr>
          <w:tblHeader/>
        </w:trPr>
        <w:tc>
          <w:tcPr>
            <w:tcW w:w="1612" w:type="dxa"/>
          </w:tcPr>
          <w:p w14:paraId="11950796" w14:textId="4ADA4A7A" w:rsidR="007C7662" w:rsidRPr="00D47E01" w:rsidRDefault="00B06A23" w:rsidP="00B91B3B">
            <w:pPr>
              <w:rPr>
                <w:rFonts w:cs="Noto Sans"/>
                <w:color w:val="202329"/>
              </w:rPr>
            </w:pPr>
            <w:r w:rsidRPr="00D47E01">
              <w:rPr>
                <w:rFonts w:cs="Noto Sans"/>
                <w:color w:val="202329"/>
              </w:rPr>
              <w:t>4</w:t>
            </w:r>
          </w:p>
        </w:tc>
        <w:tc>
          <w:tcPr>
            <w:tcW w:w="4479" w:type="dxa"/>
            <w:vAlign w:val="center"/>
          </w:tcPr>
          <w:p w14:paraId="064908AB" w14:textId="3F9D5364" w:rsidR="007C7662" w:rsidRPr="00D47E01" w:rsidRDefault="007C7662" w:rsidP="00B91B3B">
            <w:r w:rsidRPr="00D47E01">
              <w:rPr>
                <w:rFonts w:cs="Noto Sans"/>
                <w:color w:val="202329"/>
              </w:rPr>
              <w:t>Car (four passengers)</w:t>
            </w:r>
          </w:p>
        </w:tc>
        <w:tc>
          <w:tcPr>
            <w:tcW w:w="2976" w:type="dxa"/>
            <w:vAlign w:val="center"/>
          </w:tcPr>
          <w:p w14:paraId="3ADE2F89" w14:textId="41A5A3C4" w:rsidR="007C7662" w:rsidRPr="00D47E01" w:rsidRDefault="00F164D9" w:rsidP="00B91B3B">
            <w:r w:rsidRPr="00D47E01">
              <w:t>42</w:t>
            </w:r>
          </w:p>
        </w:tc>
      </w:tr>
      <w:tr w:rsidR="007C7662" w14:paraId="031F6505" w14:textId="77777777" w:rsidTr="006D20D2">
        <w:trPr>
          <w:tblHeader/>
        </w:trPr>
        <w:tc>
          <w:tcPr>
            <w:tcW w:w="1612" w:type="dxa"/>
          </w:tcPr>
          <w:p w14:paraId="49083C18" w14:textId="33680955" w:rsidR="007C7662" w:rsidRPr="00D47E01" w:rsidRDefault="00B06A23" w:rsidP="007C7662">
            <w:pPr>
              <w:rPr>
                <w:rFonts w:cs="Noto Sans"/>
                <w:color w:val="202329"/>
              </w:rPr>
            </w:pPr>
            <w:r w:rsidRPr="00D47E01">
              <w:rPr>
                <w:rFonts w:cs="Noto Sans"/>
                <w:color w:val="202329"/>
              </w:rPr>
              <w:t>5</w:t>
            </w:r>
          </w:p>
        </w:tc>
        <w:tc>
          <w:tcPr>
            <w:tcW w:w="4479" w:type="dxa"/>
            <w:vAlign w:val="center"/>
          </w:tcPr>
          <w:p w14:paraId="184EE828" w14:textId="0CC051A1" w:rsidR="007C7662" w:rsidRPr="00D47E01" w:rsidRDefault="007C7662" w:rsidP="007C7662">
            <w:pPr>
              <w:rPr>
                <w:rFonts w:cs="Noto Sans"/>
                <w:color w:val="202329"/>
              </w:rPr>
            </w:pPr>
            <w:r w:rsidRPr="00D47E01">
              <w:rPr>
                <w:rFonts w:cs="Noto Sans"/>
                <w:color w:val="202329"/>
              </w:rPr>
              <w:t>Local bus (not London)</w:t>
            </w:r>
          </w:p>
        </w:tc>
        <w:tc>
          <w:tcPr>
            <w:tcW w:w="2976" w:type="dxa"/>
            <w:vAlign w:val="center"/>
          </w:tcPr>
          <w:p w14:paraId="262D08B2" w14:textId="014D70E5" w:rsidR="007C7662" w:rsidRPr="00D47E01" w:rsidRDefault="000A7F34" w:rsidP="007C7662">
            <w:pPr>
              <w:rPr>
                <w:rFonts w:cs="Noto Sans"/>
              </w:rPr>
            </w:pPr>
            <w:r w:rsidRPr="00D47E01">
              <w:rPr>
                <w:rFonts w:cs="Noto Sans"/>
              </w:rPr>
              <w:t>123</w:t>
            </w:r>
          </w:p>
        </w:tc>
      </w:tr>
      <w:tr w:rsidR="007C7662" w14:paraId="1F466B1E" w14:textId="77777777" w:rsidTr="006D20D2">
        <w:trPr>
          <w:tblHeader/>
        </w:trPr>
        <w:tc>
          <w:tcPr>
            <w:tcW w:w="1612" w:type="dxa"/>
          </w:tcPr>
          <w:p w14:paraId="25BE0A5E" w14:textId="393AC1A5" w:rsidR="007C7662" w:rsidRPr="00D47E01" w:rsidRDefault="00B06A23" w:rsidP="007C7662">
            <w:pPr>
              <w:rPr>
                <w:rFonts w:cs="Noto Sans"/>
                <w:color w:val="202329"/>
              </w:rPr>
            </w:pPr>
            <w:r w:rsidRPr="00D47E01">
              <w:rPr>
                <w:rFonts w:cs="Noto Sans"/>
                <w:color w:val="202329"/>
              </w:rPr>
              <w:t>6</w:t>
            </w:r>
          </w:p>
        </w:tc>
        <w:tc>
          <w:tcPr>
            <w:tcW w:w="4479" w:type="dxa"/>
            <w:vAlign w:val="center"/>
          </w:tcPr>
          <w:p w14:paraId="2BB8A903" w14:textId="7F4C1B3E" w:rsidR="007C7662" w:rsidRPr="00D47E01" w:rsidRDefault="007C7662" w:rsidP="007C7662">
            <w:pPr>
              <w:rPr>
                <w:rFonts w:cs="Noto Sans"/>
                <w:color w:val="202329"/>
              </w:rPr>
            </w:pPr>
            <w:r w:rsidRPr="00D47E01">
              <w:rPr>
                <w:rFonts w:cs="Noto Sans"/>
                <w:color w:val="202329"/>
              </w:rPr>
              <w:t>Ferry</w:t>
            </w:r>
          </w:p>
        </w:tc>
        <w:tc>
          <w:tcPr>
            <w:tcW w:w="2976" w:type="dxa"/>
            <w:vAlign w:val="center"/>
          </w:tcPr>
          <w:p w14:paraId="6638AEEE" w14:textId="34815DA8" w:rsidR="007C7662" w:rsidRPr="00D47E01" w:rsidRDefault="002934F5" w:rsidP="007C7662">
            <w:pPr>
              <w:rPr>
                <w:rFonts w:cs="Noto Sans"/>
              </w:rPr>
            </w:pPr>
            <w:r w:rsidRPr="00D47E01">
              <w:rPr>
                <w:rFonts w:cs="Noto Sans"/>
              </w:rPr>
              <w:t>113</w:t>
            </w:r>
          </w:p>
        </w:tc>
      </w:tr>
      <w:tr w:rsidR="004C347C" w14:paraId="0DA6E917" w14:textId="77777777" w:rsidTr="006D20D2">
        <w:trPr>
          <w:tblHeader/>
        </w:trPr>
        <w:tc>
          <w:tcPr>
            <w:tcW w:w="1612" w:type="dxa"/>
          </w:tcPr>
          <w:p w14:paraId="47F50856" w14:textId="1CCC3C5C" w:rsidR="004C347C" w:rsidRPr="00D47E01" w:rsidRDefault="004C347C" w:rsidP="004C347C">
            <w:pPr>
              <w:rPr>
                <w:rFonts w:cs="Noto Sans"/>
                <w:color w:val="202329"/>
              </w:rPr>
            </w:pPr>
            <w:r w:rsidRPr="00D47E01">
              <w:rPr>
                <w:rFonts w:cs="Noto Sans"/>
                <w:color w:val="202329"/>
              </w:rPr>
              <w:t>7</w:t>
            </w:r>
          </w:p>
        </w:tc>
        <w:tc>
          <w:tcPr>
            <w:tcW w:w="4479" w:type="dxa"/>
            <w:vAlign w:val="center"/>
          </w:tcPr>
          <w:p w14:paraId="1E4D94D3" w14:textId="7D2A9623" w:rsidR="004C347C" w:rsidRPr="00D47E01" w:rsidRDefault="004C347C" w:rsidP="004C347C">
            <w:pPr>
              <w:rPr>
                <w:rFonts w:cs="Noto Sans"/>
                <w:color w:val="202329"/>
              </w:rPr>
            </w:pPr>
            <w:r w:rsidRPr="00D47E01">
              <w:rPr>
                <w:rFonts w:cs="Noto Sans"/>
                <w:color w:val="202329"/>
              </w:rPr>
              <w:t>Taxi</w:t>
            </w:r>
          </w:p>
        </w:tc>
        <w:tc>
          <w:tcPr>
            <w:tcW w:w="2976" w:type="dxa"/>
            <w:vAlign w:val="center"/>
          </w:tcPr>
          <w:p w14:paraId="2153245E" w14:textId="65CEB785" w:rsidR="004C347C" w:rsidRPr="00D47E01" w:rsidRDefault="004C347C" w:rsidP="004C347C">
            <w:pPr>
              <w:rPr>
                <w:rFonts w:cs="Noto Sans"/>
              </w:rPr>
            </w:pPr>
            <w:r w:rsidRPr="00D47E01">
              <w:rPr>
                <w:rFonts w:cs="Noto Sans"/>
              </w:rPr>
              <w:t>148</w:t>
            </w:r>
          </w:p>
        </w:tc>
      </w:tr>
      <w:tr w:rsidR="007C7662" w14:paraId="43756A3D" w14:textId="77777777" w:rsidTr="006D20D2">
        <w:trPr>
          <w:tblHeader/>
        </w:trPr>
        <w:tc>
          <w:tcPr>
            <w:tcW w:w="1612" w:type="dxa"/>
          </w:tcPr>
          <w:p w14:paraId="28ED4F50" w14:textId="0C673F83" w:rsidR="007C7662" w:rsidRPr="00D47E01" w:rsidRDefault="004C347C" w:rsidP="007C7662">
            <w:pPr>
              <w:rPr>
                <w:rFonts w:cs="Noto Sans"/>
                <w:color w:val="202329"/>
              </w:rPr>
            </w:pPr>
            <w:r w:rsidRPr="00D47E01">
              <w:rPr>
                <w:rFonts w:cs="Noto Sans"/>
                <w:color w:val="202329"/>
              </w:rPr>
              <w:t>8</w:t>
            </w:r>
          </w:p>
        </w:tc>
        <w:tc>
          <w:tcPr>
            <w:tcW w:w="4479" w:type="dxa"/>
            <w:vAlign w:val="center"/>
          </w:tcPr>
          <w:p w14:paraId="1558A22F" w14:textId="3BBBA673" w:rsidR="007C7662" w:rsidRPr="00D47E01" w:rsidRDefault="007C7662" w:rsidP="007C7662">
            <w:pPr>
              <w:rPr>
                <w:rFonts w:cs="Noto Sans"/>
                <w:color w:val="202329"/>
              </w:rPr>
            </w:pPr>
            <w:r w:rsidRPr="00D47E01">
              <w:rPr>
                <w:rFonts w:cs="Noto Sans"/>
                <w:color w:val="202329"/>
              </w:rPr>
              <w:t>Car (one passenger)</w:t>
            </w:r>
          </w:p>
        </w:tc>
        <w:tc>
          <w:tcPr>
            <w:tcW w:w="2976" w:type="dxa"/>
            <w:vAlign w:val="center"/>
          </w:tcPr>
          <w:p w14:paraId="04529CE6" w14:textId="12B970BE" w:rsidR="007C7662" w:rsidRPr="00D47E01" w:rsidRDefault="004169C0" w:rsidP="007C7662">
            <w:pPr>
              <w:rPr>
                <w:rFonts w:cs="Noto Sans"/>
              </w:rPr>
            </w:pPr>
            <w:r w:rsidRPr="00D47E01">
              <w:rPr>
                <w:rFonts w:cs="Noto Sans"/>
              </w:rPr>
              <w:t>166</w:t>
            </w:r>
          </w:p>
        </w:tc>
      </w:tr>
      <w:tr w:rsidR="007C7662" w14:paraId="5002ED74" w14:textId="77777777" w:rsidTr="006D20D2">
        <w:trPr>
          <w:tblHeader/>
        </w:trPr>
        <w:tc>
          <w:tcPr>
            <w:tcW w:w="1612" w:type="dxa"/>
          </w:tcPr>
          <w:p w14:paraId="1BB337B2" w14:textId="2CE63FA2" w:rsidR="007C7662" w:rsidRPr="00D47E01" w:rsidRDefault="00B06A23" w:rsidP="007C7662">
            <w:pPr>
              <w:rPr>
                <w:rFonts w:cs="Noto Sans"/>
                <w:color w:val="202329"/>
              </w:rPr>
            </w:pPr>
            <w:r w:rsidRPr="00D47E01">
              <w:rPr>
                <w:rFonts w:cs="Noto Sans"/>
                <w:color w:val="202329"/>
              </w:rPr>
              <w:t>9</w:t>
            </w:r>
          </w:p>
        </w:tc>
        <w:tc>
          <w:tcPr>
            <w:tcW w:w="4479" w:type="dxa"/>
            <w:vAlign w:val="center"/>
          </w:tcPr>
          <w:p w14:paraId="37175741" w14:textId="1E14B6BD" w:rsidR="007C7662" w:rsidRPr="00D47E01" w:rsidRDefault="007C7662" w:rsidP="007C7662">
            <w:pPr>
              <w:rPr>
                <w:rFonts w:cs="Noto Sans"/>
                <w:color w:val="202329"/>
              </w:rPr>
            </w:pPr>
            <w:r w:rsidRPr="00D47E01">
              <w:rPr>
                <w:rFonts w:cs="Noto Sans"/>
                <w:color w:val="202329"/>
              </w:rPr>
              <w:t>Long-haul flight</w:t>
            </w:r>
          </w:p>
        </w:tc>
        <w:tc>
          <w:tcPr>
            <w:tcW w:w="2976" w:type="dxa"/>
            <w:vAlign w:val="center"/>
          </w:tcPr>
          <w:p w14:paraId="157B18C1" w14:textId="433F03EA" w:rsidR="007C7662" w:rsidRPr="00D47E01" w:rsidRDefault="001D0F44" w:rsidP="007C7662">
            <w:pPr>
              <w:rPr>
                <w:rFonts w:cs="Noto Sans"/>
              </w:rPr>
            </w:pPr>
            <w:r w:rsidRPr="00D47E01">
              <w:rPr>
                <w:rFonts w:cs="Noto Sans"/>
              </w:rPr>
              <w:t>261</w:t>
            </w:r>
          </w:p>
        </w:tc>
      </w:tr>
      <w:tr w:rsidR="007C7662" w14:paraId="7844B407" w14:textId="77777777" w:rsidTr="006D20D2">
        <w:trPr>
          <w:tblHeader/>
        </w:trPr>
        <w:tc>
          <w:tcPr>
            <w:tcW w:w="1612" w:type="dxa"/>
          </w:tcPr>
          <w:p w14:paraId="70FA7794" w14:textId="36418AE8" w:rsidR="007C7662" w:rsidRPr="00D47E01" w:rsidRDefault="00B06A23" w:rsidP="007C7662">
            <w:pPr>
              <w:rPr>
                <w:rFonts w:cs="Noto Sans"/>
                <w:color w:val="202329"/>
              </w:rPr>
            </w:pPr>
            <w:r w:rsidRPr="00D47E01">
              <w:rPr>
                <w:rFonts w:cs="Noto Sans"/>
                <w:color w:val="202329"/>
              </w:rPr>
              <w:t>10</w:t>
            </w:r>
          </w:p>
        </w:tc>
        <w:tc>
          <w:tcPr>
            <w:tcW w:w="4479" w:type="dxa"/>
            <w:vAlign w:val="center"/>
          </w:tcPr>
          <w:p w14:paraId="1B4FC099" w14:textId="1E8F0D35" w:rsidR="007C7662" w:rsidRPr="00D47E01" w:rsidRDefault="007C7662" w:rsidP="007C7662">
            <w:pPr>
              <w:rPr>
                <w:rFonts w:cs="Noto Sans"/>
                <w:color w:val="202329"/>
              </w:rPr>
            </w:pPr>
            <w:r w:rsidRPr="00D47E01">
              <w:rPr>
                <w:rFonts w:cs="Noto Sans"/>
                <w:color w:val="202329"/>
              </w:rPr>
              <w:t>Domestic flight</w:t>
            </w:r>
          </w:p>
        </w:tc>
        <w:tc>
          <w:tcPr>
            <w:tcW w:w="2976" w:type="dxa"/>
            <w:vAlign w:val="center"/>
          </w:tcPr>
          <w:p w14:paraId="5D9C6C72" w14:textId="739EE0FB" w:rsidR="007C7662" w:rsidRPr="00D47E01" w:rsidRDefault="00EA04F6" w:rsidP="007C7662">
            <w:pPr>
              <w:rPr>
                <w:rFonts w:cs="Noto Sans"/>
              </w:rPr>
            </w:pPr>
            <w:r w:rsidRPr="00D47E01">
              <w:rPr>
                <w:rFonts w:cs="Noto Sans"/>
              </w:rPr>
              <w:t>272</w:t>
            </w:r>
          </w:p>
        </w:tc>
      </w:tr>
    </w:tbl>
    <w:p w14:paraId="44339520" w14:textId="77777777" w:rsidR="005E6E68" w:rsidRDefault="005E6E68" w:rsidP="00C35852"/>
    <w:p w14:paraId="6939F4CC" w14:textId="5B186599" w:rsidR="00C44355" w:rsidRPr="00C44355" w:rsidRDefault="00C44355" w:rsidP="00C44355">
      <w:r w:rsidRPr="00C44355">
        <w:t xml:space="preserve">*Source </w:t>
      </w:r>
      <w:r w:rsidR="00FF09D9">
        <w:t>DESNZ/Government Conversion Factors 2024</w:t>
      </w:r>
      <w:r w:rsidRPr="00C44355">
        <w:t>. Car refers to an average</w:t>
      </w:r>
      <w:r w:rsidR="00F62610">
        <w:t>d</w:t>
      </w:r>
      <w:r w:rsidR="00404FA1">
        <w:t xml:space="preserve"> size car</w:t>
      </w:r>
      <w:r w:rsidRPr="00C44355">
        <w:t>. Domestic rail is based upon a UK average of diesel &amp; electric trains.</w:t>
      </w:r>
    </w:p>
    <w:p w14:paraId="6F7130EA" w14:textId="77777777" w:rsidR="00C44355" w:rsidRDefault="00C44355" w:rsidP="00C44355">
      <w:pPr>
        <w:numPr>
          <w:ilvl w:val="0"/>
          <w:numId w:val="9"/>
        </w:numPr>
      </w:pPr>
      <w:r w:rsidRPr="00C44355">
        <w:t>Overall, the lowest carbon option is not to travel – consider whether you could use phone, email, or a virtual meeting instead.</w:t>
      </w:r>
    </w:p>
    <w:p w14:paraId="1976CE70" w14:textId="1438C17D" w:rsidR="001D04D0" w:rsidRDefault="001D04D0" w:rsidP="00C44355">
      <w:pPr>
        <w:numPr>
          <w:ilvl w:val="0"/>
          <w:numId w:val="9"/>
        </w:numPr>
      </w:pPr>
      <w:r>
        <w:t>Ensure total journeys have been minim</w:t>
      </w:r>
      <w:r w:rsidR="00751F99">
        <w:t>ised, by combining trips or events.</w:t>
      </w:r>
    </w:p>
    <w:p w14:paraId="66D1EB6F" w14:textId="378F3C52" w:rsidR="00751F99" w:rsidRPr="00C44355" w:rsidRDefault="004E4B64" w:rsidP="00C44355">
      <w:pPr>
        <w:numPr>
          <w:ilvl w:val="0"/>
          <w:numId w:val="9"/>
        </w:numPr>
      </w:pPr>
      <w:r>
        <w:t>If travel is necessary, ensure walking or cycling is utilised where possible</w:t>
      </w:r>
      <w:r w:rsidR="00FF5A9B">
        <w:t>.</w:t>
      </w:r>
    </w:p>
    <w:p w14:paraId="0C50FC4F" w14:textId="77777777" w:rsidR="00C44355" w:rsidRPr="00C44355" w:rsidRDefault="00C44355" w:rsidP="00C44355">
      <w:pPr>
        <w:numPr>
          <w:ilvl w:val="0"/>
          <w:numId w:val="9"/>
        </w:numPr>
      </w:pPr>
      <w:r w:rsidRPr="00C44355">
        <w:t>Trains are preferable for longer journeys but where driving is considered the only practical option, consider car-sharing.</w:t>
      </w:r>
    </w:p>
    <w:p w14:paraId="19EC1760" w14:textId="77777777" w:rsidR="00C44355" w:rsidRPr="00C44355" w:rsidRDefault="00C44355" w:rsidP="00C44355">
      <w:pPr>
        <w:numPr>
          <w:ilvl w:val="0"/>
          <w:numId w:val="9"/>
        </w:numPr>
      </w:pPr>
      <w:r w:rsidRPr="00C44355">
        <w:t>Flying should be the choice of last resort for destinations within England, Wales and Scotland (except north of Glasgow and Edinburgh) and the area serviced by Eurostar, unless such travel is not practical due to constraints which are approved by a line manager / research supervisory team.</w:t>
      </w:r>
    </w:p>
    <w:p w14:paraId="11498BF4" w14:textId="77777777" w:rsidR="00C44355" w:rsidRPr="00C44355" w:rsidRDefault="00C44355" w:rsidP="00C44355">
      <w:pPr>
        <w:numPr>
          <w:ilvl w:val="0"/>
          <w:numId w:val="9"/>
        </w:numPr>
      </w:pPr>
      <w:r w:rsidRPr="00C44355">
        <w:t>The least carbon-emitting method should be used subject to the principle of economy and reasonableness where it is practical to do so, even where costs may be higher. In practice, this means that in many cases, land-based travel rather than flying is the default option.</w:t>
      </w:r>
    </w:p>
    <w:p w14:paraId="4D8ACD75" w14:textId="77777777" w:rsidR="00C44355" w:rsidRPr="00C44355" w:rsidRDefault="00C44355" w:rsidP="00C44355">
      <w:pPr>
        <w:numPr>
          <w:ilvl w:val="0"/>
          <w:numId w:val="9"/>
        </w:numPr>
      </w:pPr>
      <w:r w:rsidRPr="00C44355">
        <w:t>If travel is being funded through a research grant, consider whether your original proposal could contain low/ zero travel price and full travel price options to give funders the opportunity to fund lower-carbon projects?</w:t>
      </w:r>
    </w:p>
    <w:p w14:paraId="60F8D5B9" w14:textId="4AC96731" w:rsidR="00C44355" w:rsidRPr="00C44355" w:rsidRDefault="00C44355" w:rsidP="00C44355">
      <w:pPr>
        <w:numPr>
          <w:ilvl w:val="0"/>
          <w:numId w:val="9"/>
        </w:numPr>
      </w:pPr>
      <w:r w:rsidRPr="00C44355">
        <w:t>All air travel and UK rail must be booked using the University’s </w:t>
      </w:r>
      <w:r w:rsidR="00C76C18">
        <w:t>travel management company</w:t>
      </w:r>
      <w:r w:rsidR="00EB71A5">
        <w:t xml:space="preserve"> (</w:t>
      </w:r>
      <w:hyperlink r:id="rId12" w:history="1">
        <w:r w:rsidR="00EB71A5" w:rsidRPr="00862307">
          <w:rPr>
            <w:rStyle w:val="Hyperlink"/>
          </w:rPr>
          <w:t>Key Travel</w:t>
        </w:r>
      </w:hyperlink>
      <w:r w:rsidR="00EB71A5">
        <w:t>)</w:t>
      </w:r>
      <w:r w:rsidRPr="00C44355">
        <w:t xml:space="preserve"> to ensure that carbon emissions can be recorded. </w:t>
      </w:r>
    </w:p>
    <w:p w14:paraId="50C73480" w14:textId="7068B2D3" w:rsidR="004D3743" w:rsidRDefault="004D3743" w:rsidP="00C35852">
      <w:r>
        <w:lastRenderedPageBreak/>
        <w:t xml:space="preserve">Further details of how the University supports sustainable and active travel choices to and from work visit the Transport section on the Sustainability pages. </w:t>
      </w:r>
    </w:p>
    <w:p w14:paraId="258D61D8" w14:textId="549341F9" w:rsidR="00E749D0" w:rsidRDefault="00732C14" w:rsidP="006D20D2">
      <w:pPr>
        <w:pStyle w:val="Heading2"/>
      </w:pPr>
      <w:r>
        <w:t>Equality</w:t>
      </w:r>
      <w:r w:rsidR="00612EBC">
        <w:t xml:space="preserve">, </w:t>
      </w:r>
      <w:r w:rsidR="00E749D0" w:rsidRPr="00D514CA">
        <w:t>Health and Safety</w:t>
      </w:r>
      <w:r>
        <w:t>,</w:t>
      </w:r>
      <w:r w:rsidR="00E749D0" w:rsidRPr="00D514CA">
        <w:t xml:space="preserve"> and Wellbeing</w:t>
      </w:r>
    </w:p>
    <w:p w14:paraId="01E245BC" w14:textId="3972DA9E" w:rsidR="00744E88" w:rsidRDefault="00E5675A" w:rsidP="00C35852">
      <w:r w:rsidRPr="00980B89">
        <w:t>This policy</w:t>
      </w:r>
      <w:r w:rsidR="00980B89" w:rsidRPr="00980B89">
        <w:t xml:space="preserve"> </w:t>
      </w:r>
      <w:r w:rsidR="00A919EC">
        <w:t>aims to ensure that the wellbeing of staff required to travel is considered</w:t>
      </w:r>
      <w:r w:rsidR="00D43649">
        <w:t>. The University</w:t>
      </w:r>
      <w:r w:rsidR="007F1312">
        <w:t xml:space="preserve"> has a </w:t>
      </w:r>
      <w:r w:rsidR="00FF7038">
        <w:t>duty of care under the Equality act 2010 to provide reasonable adjustments for travellers</w:t>
      </w:r>
      <w:r w:rsidR="00150794">
        <w:t>, including consideration for those who do not fall under the act but who have an occupational health need</w:t>
      </w:r>
      <w:r w:rsidR="00351FC9">
        <w:t xml:space="preserve"> or other responsibilities</w:t>
      </w:r>
      <w:r w:rsidR="0080205D">
        <w:t xml:space="preserve"> e.g. caring</w:t>
      </w:r>
      <w:r w:rsidR="00351FC9">
        <w:t>.</w:t>
      </w:r>
      <w:r w:rsidR="0080205D">
        <w:t xml:space="preserve"> </w:t>
      </w:r>
      <w:r w:rsidR="00B904FC">
        <w:t xml:space="preserve">If a traveller feels that they are unable to make their travel arrangements within the </w:t>
      </w:r>
      <w:r w:rsidR="009C5DE9">
        <w:t>constraints</w:t>
      </w:r>
      <w:r w:rsidR="00B904FC">
        <w:t xml:space="preserve"> of this policy</w:t>
      </w:r>
      <w:r w:rsidR="00F22076">
        <w:t xml:space="preserve"> and that an exception should be granted</w:t>
      </w:r>
      <w:r w:rsidR="009C5DE9">
        <w:t>, they must gain written approval from their line manage prior to making any bookings.</w:t>
      </w:r>
    </w:p>
    <w:p w14:paraId="6E5AB2C1" w14:textId="77777777" w:rsidR="00EA3F20" w:rsidRDefault="004D3743" w:rsidP="006D20D2">
      <w:pPr>
        <w:pStyle w:val="Heading1"/>
      </w:pPr>
      <w:r>
        <w:t>4.</w:t>
      </w:r>
      <w:r>
        <w:tab/>
      </w:r>
      <w:r w:rsidRPr="004D3743">
        <w:t>External monies</w:t>
      </w:r>
      <w:r>
        <w:t xml:space="preserve"> </w:t>
      </w:r>
    </w:p>
    <w:p w14:paraId="5C33A39E" w14:textId="65C2699E" w:rsidR="004D3743" w:rsidRPr="004D3743" w:rsidRDefault="004D3743" w:rsidP="00C35852">
      <w:r>
        <w:t>If an external grant or research funder stipulates higher financial limits</w:t>
      </w:r>
      <w:r w:rsidR="00B258D1">
        <w:t>,</w:t>
      </w:r>
      <w:r>
        <w:t xml:space="preserve"> </w:t>
      </w:r>
      <w:r w:rsidR="003B0CD5">
        <w:t>th</w:t>
      </w:r>
      <w:r w:rsidR="00B258D1">
        <w:t xml:space="preserve">en </w:t>
      </w:r>
      <w:r>
        <w:t>this University policy</w:t>
      </w:r>
      <w:r w:rsidR="00B258D1">
        <w:t xml:space="preserve"> </w:t>
      </w:r>
      <w:r>
        <w:t>will take precedence. If external funders stipulate lower financial limits then the external funder requirements will take precedence as this will represent the maximum they are willing to reimburse. The University receives public funds and is subject to Freedom of Information requests. It is also subject to considerable external scrutiny from funders and their auditors.</w:t>
      </w:r>
    </w:p>
    <w:p w14:paraId="1437E4D9" w14:textId="4BF50811" w:rsidR="00C35852" w:rsidRPr="00C35852" w:rsidRDefault="004D3743" w:rsidP="006D20D2">
      <w:pPr>
        <w:pStyle w:val="Heading1"/>
      </w:pPr>
      <w:r>
        <w:t>5.</w:t>
      </w:r>
      <w:r>
        <w:tab/>
      </w:r>
      <w:r w:rsidR="00C35852" w:rsidRPr="00C35852">
        <w:t>Travel</w:t>
      </w:r>
    </w:p>
    <w:p w14:paraId="4B182DF3" w14:textId="0BE4DB6C" w:rsidR="00C35852" w:rsidRDefault="00C35852" w:rsidP="00C35852">
      <w:r>
        <w:t xml:space="preserve">The University will pay for travelling expenses for staff journeys made in the performance of their duties as employees of the University. </w:t>
      </w:r>
      <w:r w:rsidR="001577F9">
        <w:t xml:space="preserve">This must </w:t>
      </w:r>
      <w:r>
        <w:t>be booked in advance through the University’s approved travel management company</w:t>
      </w:r>
      <w:r w:rsidR="00E02E12">
        <w:t xml:space="preserve"> </w:t>
      </w:r>
      <w:r w:rsidR="009C0B6A">
        <w:t>(</w:t>
      </w:r>
      <w:hyperlink r:id="rId13" w:history="1">
        <w:r w:rsidR="009C0B6A" w:rsidRPr="00EA3F20">
          <w:rPr>
            <w:rStyle w:val="Hyperlink"/>
          </w:rPr>
          <w:t>Key Travel</w:t>
        </w:r>
      </w:hyperlink>
      <w:r w:rsidR="00EA3F20">
        <w:t xml:space="preserve">) </w:t>
      </w:r>
      <w:r w:rsidR="009C0B6A">
        <w:t>w</w:t>
      </w:r>
      <w:r w:rsidR="00E02E12">
        <w:t>here feasibly possible. Where not possible, prior approval must be sought</w:t>
      </w:r>
      <w:r>
        <w:t>.</w:t>
      </w:r>
    </w:p>
    <w:p w14:paraId="6E6079C1" w14:textId="41FA1D6B" w:rsidR="00C35852" w:rsidRDefault="00C35852" w:rsidP="00C35852">
      <w:r>
        <w:t>Where this is not possible the most economical method of transport should be used taking into account efficient working practices. Staff are encouraged to use public transport where ever available/appropriate</w:t>
      </w:r>
      <w:r w:rsidR="009B400A">
        <w:t>, in line with the travel hierarchy as above</w:t>
      </w:r>
      <w:r>
        <w:t>. This will be standard class rail travel, and economy class air travel or hire/private car but this will depend on the destination and the number of people travelling.</w:t>
      </w:r>
    </w:p>
    <w:p w14:paraId="062BDCAD" w14:textId="3E2C78BE" w:rsidR="00C35852" w:rsidRPr="00C35852" w:rsidRDefault="004D3743" w:rsidP="006D20D2">
      <w:pPr>
        <w:pStyle w:val="Heading1"/>
      </w:pPr>
      <w:r>
        <w:t>6.</w:t>
      </w:r>
      <w:r>
        <w:tab/>
      </w:r>
      <w:r w:rsidR="00C35852" w:rsidRPr="00C35852">
        <w:t xml:space="preserve">Business Travel </w:t>
      </w:r>
    </w:p>
    <w:p w14:paraId="609DE780" w14:textId="7C6A2D9D" w:rsidR="00C35852" w:rsidRDefault="00C35852" w:rsidP="00C35852">
      <w:r>
        <w:t xml:space="preserve">The University will only reimburse the costs of necessary business travel. This is defined as travel from one workplace to another on University business, enabling staff to perform their work duties. </w:t>
      </w:r>
    </w:p>
    <w:p w14:paraId="5E78E152" w14:textId="144426F0" w:rsidR="00C35852" w:rsidRDefault="00C35852" w:rsidP="00C35852">
      <w:r>
        <w:t xml:space="preserve">Payment for the cost of travel between home and the workplace (including weekends and evenings) is only payable in exceptional circumstances when approved by the </w:t>
      </w:r>
      <w:r>
        <w:lastRenderedPageBreak/>
        <w:t xml:space="preserve">claimant’s line manager/budget holder on advice of the Finance/HR Business Partner. Approved home to work journeys are a taxable benefit so should be claimed via </w:t>
      </w:r>
      <w:r w:rsidR="008D1C74">
        <w:t>the payroll department</w:t>
      </w:r>
      <w:r w:rsidR="00905264">
        <w:t xml:space="preserve"> </w:t>
      </w:r>
      <w:r>
        <w:t>as a “claim for repayment through payroll of taxable expenses”.</w:t>
      </w:r>
    </w:p>
    <w:p w14:paraId="064CA6FF" w14:textId="05865244" w:rsidR="00C35852" w:rsidRDefault="00C35852" w:rsidP="00C35852">
      <w:r>
        <w:t xml:space="preserve">The University will not fund the costs of partners accompanying staff unless the partner is assuming an official University role, such as hosting official receptions, and the line manager’s approval has been obtained prior to travel. If a member of staff wishes to extend an overseas visit into a holiday, and/or take family members with them, all non-University business costs must be borne in full by the member of staff. </w:t>
      </w:r>
    </w:p>
    <w:p w14:paraId="758DB01C" w14:textId="52CDBA7B" w:rsidR="00C35852" w:rsidRDefault="00C35852" w:rsidP="00C35852">
      <w:r>
        <w:t xml:space="preserve">Air miles and similar reward scheme benefits earned through official travel may be used to “purchase” enhanced facilities on University business travel such as seat or facility upgrades or to obtain access to facilities such as priority booking or departure lounges. They must not be used for personal benefit. </w:t>
      </w:r>
    </w:p>
    <w:p w14:paraId="57AA1B68" w14:textId="78902205" w:rsidR="00C35852" w:rsidRPr="00C35852" w:rsidRDefault="004D3743" w:rsidP="006D20D2">
      <w:pPr>
        <w:pStyle w:val="Heading1"/>
      </w:pPr>
      <w:r>
        <w:t>7.</w:t>
      </w:r>
      <w:r>
        <w:tab/>
      </w:r>
      <w:r w:rsidR="00C35852" w:rsidRPr="00C35852">
        <w:t xml:space="preserve">Public Transport – Rail, Coach and Bus Travel </w:t>
      </w:r>
    </w:p>
    <w:p w14:paraId="3BDBB229" w14:textId="37EF7FCD" w:rsidR="00C35852" w:rsidRDefault="00C35852" w:rsidP="00C35852">
      <w:r>
        <w:t>Wherever possible rail travel should be booked in advance through the University’s approved Travel Management Company</w:t>
      </w:r>
      <w:r w:rsidR="003C3069">
        <w:t xml:space="preserve"> (</w:t>
      </w:r>
      <w:hyperlink r:id="rId14" w:history="1">
        <w:r w:rsidR="003C3069" w:rsidRPr="003C3069">
          <w:rPr>
            <w:rStyle w:val="Hyperlink"/>
          </w:rPr>
          <w:t>Key Travel</w:t>
        </w:r>
      </w:hyperlink>
      <w:r w:rsidR="003C3069">
        <w:t>)</w:t>
      </w:r>
      <w:r>
        <w:t>.</w:t>
      </w:r>
    </w:p>
    <w:p w14:paraId="40396229" w14:textId="47040CF9" w:rsidR="00C35852" w:rsidRDefault="00C35852" w:rsidP="00C35852">
      <w:r>
        <w:t xml:space="preserve">Travellers should book well in advance and wherever possible take advantage of saver or super-saver tickets. </w:t>
      </w:r>
    </w:p>
    <w:p w14:paraId="2D811B12" w14:textId="01727478" w:rsidR="00C35852" w:rsidRDefault="00C35852" w:rsidP="00C35852">
      <w:r>
        <w:t xml:space="preserve">Timed returns should always be booked unless it is not possible to estimate with certainty your time of return, in which case open-returns may be booked. </w:t>
      </w:r>
    </w:p>
    <w:p w14:paraId="14CDA215" w14:textId="4BC9A0D8" w:rsidR="00C35852" w:rsidRDefault="00C35852" w:rsidP="00C35852">
      <w:r>
        <w:t xml:space="preserve">Travellers are expected to travel </w:t>
      </w:r>
      <w:r w:rsidRPr="00C35852">
        <w:rPr>
          <w:b/>
          <w:bCs/>
        </w:rPr>
        <w:t>standard class,</w:t>
      </w:r>
      <w:r>
        <w:t xml:space="preserve"> however, first class rail travel may be booked where this is cheaper than published standard class fares for timed arrivals and</w:t>
      </w:r>
      <w:r w:rsidRPr="00C35852">
        <w:t xml:space="preserve"> </w:t>
      </w:r>
      <w:r>
        <w:t xml:space="preserve">departures (i.e. not open ended standard class returns) which can be the case depending on the date. </w:t>
      </w:r>
    </w:p>
    <w:p w14:paraId="50F103A2" w14:textId="77777777" w:rsidR="00C35852" w:rsidRDefault="00C35852" w:rsidP="00C35852">
      <w:r>
        <w:t>The circumstances that can apply to staff travelling other than standard class are:</w:t>
      </w:r>
    </w:p>
    <w:p w14:paraId="322166A2" w14:textId="2A0C1848" w:rsidR="00C35852" w:rsidRDefault="00C35852" w:rsidP="00C35852">
      <w:pPr>
        <w:pStyle w:val="NoSpacing"/>
        <w:numPr>
          <w:ilvl w:val="0"/>
          <w:numId w:val="3"/>
        </w:numPr>
      </w:pPr>
      <w:r>
        <w:t xml:space="preserve">where there is a demanding work schedule e.g. a short time between rail travel and the commencement of University duties or where there are multiple trains over an extended period being taken; </w:t>
      </w:r>
    </w:p>
    <w:p w14:paraId="384CC617" w14:textId="04F67669" w:rsidR="00C35852" w:rsidRDefault="00C35852" w:rsidP="00C35852">
      <w:pPr>
        <w:pStyle w:val="NoSpacing"/>
        <w:numPr>
          <w:ilvl w:val="0"/>
          <w:numId w:val="3"/>
        </w:numPr>
      </w:pPr>
      <w:r>
        <w:t xml:space="preserve">where a funding sponsor permits higher classes and will reimburse the full cost </w:t>
      </w:r>
    </w:p>
    <w:p w14:paraId="14FCFB3D" w14:textId="7E295D94" w:rsidR="00C35852" w:rsidRDefault="00C35852" w:rsidP="00C35852">
      <w:pPr>
        <w:pStyle w:val="NoSpacing"/>
        <w:numPr>
          <w:ilvl w:val="0"/>
          <w:numId w:val="3"/>
        </w:numPr>
      </w:pPr>
      <w:r>
        <w:t>medical and/or disability grounds;</w:t>
      </w:r>
    </w:p>
    <w:p w14:paraId="09C15EDA" w14:textId="77777777" w:rsidR="00C35852" w:rsidRDefault="00C35852" w:rsidP="00C35852">
      <w:pPr>
        <w:pStyle w:val="NoSpacing"/>
        <w:numPr>
          <w:ilvl w:val="0"/>
          <w:numId w:val="3"/>
        </w:numPr>
      </w:pPr>
      <w:r>
        <w:t xml:space="preserve">where it is cheaper or the same price to travel by train at a higher grade, including first class. </w:t>
      </w:r>
    </w:p>
    <w:p w14:paraId="42BA9892" w14:textId="77777777" w:rsidR="00C35852" w:rsidRDefault="00C35852" w:rsidP="00C35852">
      <w:pPr>
        <w:pStyle w:val="NoSpacing"/>
      </w:pPr>
    </w:p>
    <w:p w14:paraId="2DE862A8" w14:textId="77777777" w:rsidR="00C35852" w:rsidRDefault="00C35852" w:rsidP="00C35852">
      <w:pPr>
        <w:pStyle w:val="NoSpacing"/>
      </w:pPr>
      <w:r>
        <w:t>If circumstances warrant rail travel other than standard class the following apply:</w:t>
      </w:r>
    </w:p>
    <w:p w14:paraId="56E51A5B" w14:textId="77777777" w:rsidR="00C35852" w:rsidRDefault="00C35852" w:rsidP="00C35852">
      <w:pPr>
        <w:pStyle w:val="NoSpacing"/>
      </w:pPr>
    </w:p>
    <w:p w14:paraId="54334574" w14:textId="77777777" w:rsidR="00C35852" w:rsidRDefault="00C35852" w:rsidP="00C35852">
      <w:pPr>
        <w:pStyle w:val="NoSpacing"/>
        <w:numPr>
          <w:ilvl w:val="0"/>
          <w:numId w:val="4"/>
        </w:numPr>
      </w:pPr>
      <w:r>
        <w:t>Any rail travel, other than standard class, requires the prior approval of the member of staff’s line manager/budget holder;</w:t>
      </w:r>
    </w:p>
    <w:p w14:paraId="668D0384" w14:textId="77777777" w:rsidR="00C35852" w:rsidRDefault="00C35852" w:rsidP="00C35852">
      <w:pPr>
        <w:pStyle w:val="NoSpacing"/>
        <w:numPr>
          <w:ilvl w:val="0"/>
          <w:numId w:val="4"/>
        </w:numPr>
      </w:pPr>
      <w:r>
        <w:lastRenderedPageBreak/>
        <w:t xml:space="preserve">First class is only permitted if the cost is fully reimbursed by an external funder or sponsor. </w:t>
      </w:r>
    </w:p>
    <w:p w14:paraId="300459EE" w14:textId="77777777" w:rsidR="00C35852" w:rsidRDefault="00C35852" w:rsidP="00C35852">
      <w:pPr>
        <w:pStyle w:val="NoSpacing"/>
        <w:ind w:left="90"/>
      </w:pPr>
    </w:p>
    <w:p w14:paraId="7CFC8CD6" w14:textId="77777777" w:rsidR="00C35852" w:rsidRDefault="00C35852" w:rsidP="00C35852">
      <w:pPr>
        <w:pStyle w:val="NoSpacing"/>
        <w:ind w:left="90"/>
      </w:pPr>
      <w:r>
        <w:t xml:space="preserve">Wi-Fi costs will be reimbursed if this is used for University business. </w:t>
      </w:r>
    </w:p>
    <w:p w14:paraId="315255FA" w14:textId="77777777" w:rsidR="00C35852" w:rsidRDefault="00C35852" w:rsidP="00C35852">
      <w:pPr>
        <w:pStyle w:val="NoSpacing"/>
        <w:ind w:left="90"/>
      </w:pPr>
    </w:p>
    <w:p w14:paraId="60B5FD72" w14:textId="4010DDDF" w:rsidR="00C35852" w:rsidRDefault="004D3743" w:rsidP="006D20D2">
      <w:pPr>
        <w:pStyle w:val="Heading1"/>
      </w:pPr>
      <w:r>
        <w:t>8.</w:t>
      </w:r>
      <w:r>
        <w:tab/>
      </w:r>
      <w:r w:rsidR="00C35852" w:rsidRPr="00C35852">
        <w:t>Sea travel</w:t>
      </w:r>
      <w:r w:rsidR="00C35852">
        <w:t xml:space="preserve"> </w:t>
      </w:r>
    </w:p>
    <w:p w14:paraId="76A6AA0E" w14:textId="77777777" w:rsidR="00C35852" w:rsidRDefault="00C35852" w:rsidP="00C35852">
      <w:pPr>
        <w:pStyle w:val="NoSpacing"/>
        <w:ind w:left="90"/>
      </w:pPr>
    </w:p>
    <w:p w14:paraId="35FE0AC5" w14:textId="61D9BB4E" w:rsidR="00C35852" w:rsidRDefault="00C35852" w:rsidP="00C35852">
      <w:pPr>
        <w:pStyle w:val="NoSpacing"/>
        <w:ind w:left="90"/>
      </w:pPr>
      <w:r>
        <w:t xml:space="preserve">For crossings over 6 hours, standard cabin accommodation is permitted. </w:t>
      </w:r>
    </w:p>
    <w:p w14:paraId="2BDA3FCD" w14:textId="77777777" w:rsidR="00C35852" w:rsidRDefault="00C35852" w:rsidP="00C35852">
      <w:pPr>
        <w:pStyle w:val="NoSpacing"/>
        <w:ind w:left="90"/>
      </w:pPr>
    </w:p>
    <w:p w14:paraId="7C6F89AB" w14:textId="437B4C63" w:rsidR="00C35852" w:rsidRPr="00C35852" w:rsidRDefault="004D3743" w:rsidP="006D20D2">
      <w:pPr>
        <w:pStyle w:val="Heading1"/>
      </w:pPr>
      <w:r>
        <w:t>9.</w:t>
      </w:r>
      <w:r>
        <w:tab/>
      </w:r>
      <w:r w:rsidR="00C35852" w:rsidRPr="00C35852">
        <w:t xml:space="preserve">Air Travel </w:t>
      </w:r>
    </w:p>
    <w:p w14:paraId="77456B23" w14:textId="77777777" w:rsidR="00C35852" w:rsidRDefault="00C35852" w:rsidP="00C35852">
      <w:pPr>
        <w:pStyle w:val="NoSpacing"/>
        <w:ind w:left="90"/>
      </w:pPr>
    </w:p>
    <w:p w14:paraId="3EEE0E79" w14:textId="6E43725D" w:rsidR="00C35852" w:rsidRDefault="00D1098A" w:rsidP="00C35852">
      <w:pPr>
        <w:pStyle w:val="NoSpacing"/>
        <w:ind w:left="90"/>
      </w:pPr>
      <w:r>
        <w:t xml:space="preserve">Please refer to the University Travel hierarchy (above) before booking air travel. </w:t>
      </w:r>
      <w:r w:rsidR="00C35852">
        <w:t xml:space="preserve">All staff air travel should be booked in advance </w:t>
      </w:r>
      <w:r w:rsidR="00091D8A">
        <w:t xml:space="preserve">as early as possible </w:t>
      </w:r>
      <w:r w:rsidR="00C35852">
        <w:t>through the University’s approved Travel Management Company</w:t>
      </w:r>
      <w:r w:rsidR="003C3069">
        <w:t xml:space="preserve"> (</w:t>
      </w:r>
      <w:hyperlink r:id="rId15" w:history="1">
        <w:r w:rsidR="003C3069" w:rsidRPr="003C3069">
          <w:rPr>
            <w:rStyle w:val="Hyperlink"/>
          </w:rPr>
          <w:t>Key Travel</w:t>
        </w:r>
      </w:hyperlink>
      <w:r w:rsidR="003C3069">
        <w:t>)</w:t>
      </w:r>
      <w:r w:rsidR="00091D8A">
        <w:t xml:space="preserve"> to take advantage of any possible</w:t>
      </w:r>
      <w:r w:rsidR="00693489">
        <w:t xml:space="preserve"> reduced advance fares</w:t>
      </w:r>
      <w:r w:rsidR="00C35852">
        <w:t>. Staff are expected to fly economy class</w:t>
      </w:r>
      <w:r w:rsidR="00830EB4">
        <w:t>, and for travel by air to be avoided wherever possible</w:t>
      </w:r>
      <w:r w:rsidR="00C35852">
        <w:t>. However, in certain circumstances it is permitted to fly in other classes based on the following guidelines:</w:t>
      </w:r>
    </w:p>
    <w:p w14:paraId="5EEF446D" w14:textId="77777777" w:rsidR="00C35852" w:rsidRDefault="00C35852" w:rsidP="00C35852">
      <w:pPr>
        <w:pStyle w:val="NoSpacing"/>
        <w:ind w:left="90"/>
      </w:pPr>
    </w:p>
    <w:tbl>
      <w:tblPr>
        <w:tblStyle w:val="TableGrid"/>
        <w:tblW w:w="0" w:type="auto"/>
        <w:tblInd w:w="90" w:type="dxa"/>
        <w:tblLook w:val="04A0" w:firstRow="1" w:lastRow="0" w:firstColumn="1" w:lastColumn="0" w:noHBand="0" w:noVBand="1"/>
        <w:tblDescription w:val="Table showing which class of travel is permitted for staff airline travel. Any Flight Duration means Economy.  For flights over 5 Hours and up to 9 Hours, premium Economy is permitted. For flights over 9 Hours (Subject to Prior Approval), Business class is permitted. First class is not permitted. &#10;"/>
      </w:tblPr>
      <w:tblGrid>
        <w:gridCol w:w="1783"/>
        <w:gridCol w:w="1785"/>
        <w:gridCol w:w="1785"/>
        <w:gridCol w:w="1786"/>
        <w:gridCol w:w="1787"/>
      </w:tblGrid>
      <w:tr w:rsidR="00C35852" w14:paraId="1ABBCAC7" w14:textId="77777777" w:rsidTr="00505067">
        <w:trPr>
          <w:cantSplit/>
          <w:tblHeader/>
        </w:trPr>
        <w:tc>
          <w:tcPr>
            <w:tcW w:w="1803" w:type="dxa"/>
            <w:shd w:val="clear" w:color="auto" w:fill="002060"/>
          </w:tcPr>
          <w:p w14:paraId="4EB3D84C" w14:textId="0940D1E4" w:rsidR="00C35852" w:rsidRDefault="00C35852" w:rsidP="00C35852">
            <w:pPr>
              <w:pStyle w:val="NoSpacing"/>
            </w:pPr>
            <w:r>
              <w:t>Flight Duration</w:t>
            </w:r>
          </w:p>
        </w:tc>
        <w:tc>
          <w:tcPr>
            <w:tcW w:w="1803" w:type="dxa"/>
            <w:shd w:val="clear" w:color="auto" w:fill="002060"/>
          </w:tcPr>
          <w:p w14:paraId="647DB30C" w14:textId="565839F3" w:rsidR="00C35852" w:rsidRDefault="00C35852" w:rsidP="00C35852">
            <w:pPr>
              <w:pStyle w:val="NoSpacing"/>
            </w:pPr>
            <w:r>
              <w:t>Any Flight Duration</w:t>
            </w:r>
          </w:p>
        </w:tc>
        <w:tc>
          <w:tcPr>
            <w:tcW w:w="1803" w:type="dxa"/>
            <w:shd w:val="clear" w:color="auto" w:fill="002060"/>
          </w:tcPr>
          <w:p w14:paraId="454AD296" w14:textId="7F2EF716" w:rsidR="00C35852" w:rsidRDefault="00C35852" w:rsidP="00C35852">
            <w:pPr>
              <w:pStyle w:val="NoSpacing"/>
            </w:pPr>
            <w:r>
              <w:t>Over 5 Hours and up to 9 Hours</w:t>
            </w:r>
          </w:p>
        </w:tc>
        <w:tc>
          <w:tcPr>
            <w:tcW w:w="1803" w:type="dxa"/>
            <w:shd w:val="clear" w:color="auto" w:fill="002060"/>
          </w:tcPr>
          <w:p w14:paraId="627DAEAA" w14:textId="5F69A601" w:rsidR="00C35852" w:rsidRDefault="00C35852" w:rsidP="00C35852">
            <w:pPr>
              <w:pStyle w:val="NoSpacing"/>
            </w:pPr>
            <w:r>
              <w:t>Over 9 Hours (Subject to Prior Approval)</w:t>
            </w:r>
          </w:p>
        </w:tc>
        <w:tc>
          <w:tcPr>
            <w:tcW w:w="1804" w:type="dxa"/>
            <w:shd w:val="clear" w:color="auto" w:fill="002060"/>
          </w:tcPr>
          <w:p w14:paraId="0AA2985C" w14:textId="4858DD3C" w:rsidR="00C35852" w:rsidRDefault="00C35852" w:rsidP="00C35852">
            <w:pPr>
              <w:pStyle w:val="NoSpacing"/>
            </w:pPr>
            <w:r>
              <w:t>Not Permitted</w:t>
            </w:r>
          </w:p>
        </w:tc>
      </w:tr>
      <w:tr w:rsidR="00C35852" w14:paraId="724BBFCE" w14:textId="77777777" w:rsidTr="00505067">
        <w:trPr>
          <w:cantSplit/>
          <w:tblHeader/>
        </w:trPr>
        <w:tc>
          <w:tcPr>
            <w:tcW w:w="1803" w:type="dxa"/>
          </w:tcPr>
          <w:p w14:paraId="315F0777" w14:textId="3A533FBC" w:rsidR="00C35852" w:rsidRDefault="00C35852" w:rsidP="00C35852">
            <w:pPr>
              <w:pStyle w:val="NoSpacing"/>
            </w:pPr>
            <w:r>
              <w:t>Class</w:t>
            </w:r>
          </w:p>
        </w:tc>
        <w:tc>
          <w:tcPr>
            <w:tcW w:w="1803" w:type="dxa"/>
          </w:tcPr>
          <w:p w14:paraId="25AE2B89" w14:textId="5A153894" w:rsidR="00C35852" w:rsidRDefault="00C35852" w:rsidP="00C35852">
            <w:pPr>
              <w:pStyle w:val="NoSpacing"/>
            </w:pPr>
            <w:r>
              <w:t>Economy</w:t>
            </w:r>
          </w:p>
        </w:tc>
        <w:tc>
          <w:tcPr>
            <w:tcW w:w="1803" w:type="dxa"/>
          </w:tcPr>
          <w:p w14:paraId="25C8EF4D" w14:textId="1DBEC3A0" w:rsidR="00C35852" w:rsidRDefault="00C35852" w:rsidP="00C35852">
            <w:pPr>
              <w:pStyle w:val="NoSpacing"/>
            </w:pPr>
            <w:r>
              <w:t>Premium Economy</w:t>
            </w:r>
          </w:p>
        </w:tc>
        <w:tc>
          <w:tcPr>
            <w:tcW w:w="1803" w:type="dxa"/>
          </w:tcPr>
          <w:p w14:paraId="28913038" w14:textId="521DC6F7" w:rsidR="00C35852" w:rsidRDefault="00C35852" w:rsidP="00C35852">
            <w:pPr>
              <w:pStyle w:val="NoSpacing"/>
            </w:pPr>
            <w:r>
              <w:t>Business</w:t>
            </w:r>
          </w:p>
        </w:tc>
        <w:tc>
          <w:tcPr>
            <w:tcW w:w="1804" w:type="dxa"/>
          </w:tcPr>
          <w:p w14:paraId="64F3A69D" w14:textId="49C127D6" w:rsidR="00C35852" w:rsidRDefault="00C35852" w:rsidP="00C35852">
            <w:pPr>
              <w:pStyle w:val="NoSpacing"/>
            </w:pPr>
            <w:r>
              <w:t>First Class</w:t>
            </w:r>
          </w:p>
        </w:tc>
      </w:tr>
    </w:tbl>
    <w:p w14:paraId="379F1062" w14:textId="77777777" w:rsidR="00C35852" w:rsidRDefault="00C35852" w:rsidP="00C35852">
      <w:pPr>
        <w:pStyle w:val="NoSpacing"/>
        <w:ind w:left="90"/>
      </w:pPr>
    </w:p>
    <w:p w14:paraId="6BC0DE9D" w14:textId="77777777" w:rsidR="00C35852" w:rsidRDefault="00C35852" w:rsidP="00C35852">
      <w:pPr>
        <w:pStyle w:val="NoSpacing"/>
        <w:ind w:left="90"/>
      </w:pPr>
      <w:r>
        <w:t>The circumstances that can apply to staff travelling other than economy class are:</w:t>
      </w:r>
    </w:p>
    <w:p w14:paraId="7F6F404E" w14:textId="77777777" w:rsidR="00C35852" w:rsidRDefault="00C35852" w:rsidP="00C35852">
      <w:pPr>
        <w:pStyle w:val="NoSpacing"/>
        <w:ind w:left="90"/>
      </w:pPr>
    </w:p>
    <w:p w14:paraId="0F00823B" w14:textId="41F0CF54" w:rsidR="00C35852" w:rsidRDefault="00C35852" w:rsidP="004D3743">
      <w:pPr>
        <w:pStyle w:val="NoSpacing"/>
        <w:numPr>
          <w:ilvl w:val="0"/>
          <w:numId w:val="7"/>
        </w:numPr>
      </w:pPr>
      <w:r>
        <w:t xml:space="preserve">where there is a demanding work schedule e.g. a short time between a flight landing and the commencement of University duties or where there are multiple flights over an extended period being taken; </w:t>
      </w:r>
    </w:p>
    <w:p w14:paraId="4832A396" w14:textId="13C186B0" w:rsidR="00C35852" w:rsidRDefault="00C35852" w:rsidP="004D3743">
      <w:pPr>
        <w:pStyle w:val="NoSpacing"/>
        <w:numPr>
          <w:ilvl w:val="0"/>
          <w:numId w:val="7"/>
        </w:numPr>
      </w:pPr>
      <w:r>
        <w:t>where a funding sponsor permits higher classes and will reimburse the full cost</w:t>
      </w:r>
    </w:p>
    <w:p w14:paraId="64776DF0" w14:textId="5D8A7EB8" w:rsidR="00C35852" w:rsidRDefault="00C35852" w:rsidP="004D3743">
      <w:pPr>
        <w:pStyle w:val="NoSpacing"/>
        <w:numPr>
          <w:ilvl w:val="0"/>
          <w:numId w:val="7"/>
        </w:numPr>
      </w:pPr>
      <w:r>
        <w:t>medical and/or disability grounds;</w:t>
      </w:r>
    </w:p>
    <w:p w14:paraId="2D8DCF9C" w14:textId="1FAF5C79" w:rsidR="00C35852" w:rsidRDefault="00C35852" w:rsidP="004D3743">
      <w:pPr>
        <w:pStyle w:val="NoSpacing"/>
        <w:numPr>
          <w:ilvl w:val="0"/>
          <w:numId w:val="7"/>
        </w:numPr>
      </w:pPr>
      <w:r>
        <w:t xml:space="preserve">where it is cheaper or the same price to fly at a higher grade, including first class. </w:t>
      </w:r>
    </w:p>
    <w:p w14:paraId="1CD66BA8" w14:textId="2E2A7316" w:rsidR="00C35852" w:rsidRDefault="00C35852" w:rsidP="00C35852">
      <w:pPr>
        <w:pStyle w:val="NoSpacing"/>
        <w:ind w:left="90"/>
      </w:pPr>
      <w:r>
        <w:t xml:space="preserve">If circumstances warrant flying other than economy class the following apply: </w:t>
      </w:r>
    </w:p>
    <w:p w14:paraId="3EC26FC1" w14:textId="77777777" w:rsidR="00C35852" w:rsidRDefault="00C35852" w:rsidP="00C35852">
      <w:pPr>
        <w:pStyle w:val="NoSpacing"/>
        <w:ind w:left="90"/>
      </w:pPr>
    </w:p>
    <w:p w14:paraId="5CF495FA" w14:textId="4D71C8E1" w:rsidR="00C35852" w:rsidRDefault="00C35852" w:rsidP="004D3743">
      <w:pPr>
        <w:pStyle w:val="NoSpacing"/>
        <w:numPr>
          <w:ilvl w:val="0"/>
          <w:numId w:val="8"/>
        </w:numPr>
      </w:pPr>
      <w:r>
        <w:t>Any flight, other than economy class, requires the prior approval of the member of staff’s line manager/budget holder;</w:t>
      </w:r>
    </w:p>
    <w:p w14:paraId="46CA8B9D" w14:textId="3CDCCFC8" w:rsidR="00C35852" w:rsidRDefault="00C35852" w:rsidP="004D3743">
      <w:pPr>
        <w:pStyle w:val="NoSpacing"/>
        <w:numPr>
          <w:ilvl w:val="0"/>
          <w:numId w:val="8"/>
        </w:numPr>
      </w:pPr>
      <w:r>
        <w:t>First class is only permitted if the cost is fully reimbursed by an external funder or sponsor.</w:t>
      </w:r>
    </w:p>
    <w:p w14:paraId="4D03C6BF" w14:textId="77777777" w:rsidR="004D3743" w:rsidRDefault="004D3743" w:rsidP="00C35852">
      <w:pPr>
        <w:pStyle w:val="NoSpacing"/>
        <w:ind w:left="720"/>
      </w:pPr>
    </w:p>
    <w:p w14:paraId="1B2CFA29" w14:textId="3071EC7E" w:rsidR="004D3743" w:rsidRDefault="004D3743" w:rsidP="004D3743">
      <w:pPr>
        <w:pStyle w:val="NoSpacing"/>
      </w:pPr>
      <w:r>
        <w:t xml:space="preserve">There is usually a premium for air travel extras if not booked in advance. Acceptable costs for air travel extras are seat reservation fees and baggage charges if booked in </w:t>
      </w:r>
      <w:r>
        <w:lastRenderedPageBreak/>
        <w:t>advance. Unacceptable costs are excess baggage charges made at check in if these charges could have been avoided at the time of making the booking.</w:t>
      </w:r>
    </w:p>
    <w:p w14:paraId="73D26451" w14:textId="77777777" w:rsidR="00EC731D" w:rsidRDefault="00EC731D" w:rsidP="004D3743">
      <w:pPr>
        <w:pStyle w:val="NoSpacing"/>
      </w:pPr>
    </w:p>
    <w:p w14:paraId="0C0A896E" w14:textId="6CBAD3DC" w:rsidR="00EC731D" w:rsidRDefault="00C20FED" w:rsidP="006D20D2">
      <w:pPr>
        <w:pStyle w:val="Heading2"/>
      </w:pPr>
      <w:r>
        <w:t xml:space="preserve">Travel </w:t>
      </w:r>
      <w:r w:rsidR="00D67D07">
        <w:t xml:space="preserve">Expenses </w:t>
      </w:r>
      <w:r w:rsidR="00120AC0" w:rsidRPr="00120AC0">
        <w:t>Process</w:t>
      </w:r>
    </w:p>
    <w:p w14:paraId="3A9D4424" w14:textId="77777777" w:rsidR="00D67D07" w:rsidRDefault="00D67D07" w:rsidP="004D3743">
      <w:pPr>
        <w:pStyle w:val="NoSpacing"/>
      </w:pPr>
    </w:p>
    <w:p w14:paraId="57FD30C8" w14:textId="1F5EB19B" w:rsidR="00120AC0" w:rsidRDefault="00120AC0" w:rsidP="004D3743">
      <w:pPr>
        <w:pStyle w:val="NoSpacing"/>
      </w:pPr>
      <w:r>
        <w:t>The process to claim expenses</w:t>
      </w:r>
      <w:r w:rsidR="00D67D07">
        <w:t xml:space="preserve"> is detailed in the Staff Expenses Policy.</w:t>
      </w:r>
      <w:r w:rsidR="006A0178">
        <w:t xml:space="preserve"> </w:t>
      </w:r>
      <w:r w:rsidR="00D55674">
        <w:t>Further details of r</w:t>
      </w:r>
      <w:r w:rsidR="006A0178">
        <w:t>ates</w:t>
      </w:r>
      <w:r w:rsidR="00F25AAA">
        <w:t>, allowable charges, terms</w:t>
      </w:r>
      <w:r w:rsidR="00E24EB0">
        <w:t>, conditions</w:t>
      </w:r>
      <w:r w:rsidR="00F25AAA">
        <w:t>, and exceptions are detailed in the Staff Expenses Policy.</w:t>
      </w:r>
      <w:r w:rsidR="00E24EB0">
        <w:t xml:space="preserve"> </w:t>
      </w:r>
    </w:p>
    <w:p w14:paraId="03BE4666" w14:textId="77777777" w:rsidR="00C20FED" w:rsidRDefault="00C20FED" w:rsidP="004D3743">
      <w:pPr>
        <w:pStyle w:val="NoSpacing"/>
      </w:pPr>
    </w:p>
    <w:p w14:paraId="3E59A581" w14:textId="07FA04C4" w:rsidR="00C20FED" w:rsidRPr="00120AC0" w:rsidRDefault="00C20FED" w:rsidP="004D3743">
      <w:pPr>
        <w:pStyle w:val="NoSpacing"/>
      </w:pPr>
    </w:p>
    <w:sectPr w:rsidR="00C20FED" w:rsidRPr="00120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B578" w14:textId="77777777" w:rsidR="001430CE" w:rsidRDefault="001430CE" w:rsidP="00C35852">
      <w:pPr>
        <w:spacing w:after="0" w:line="240" w:lineRule="auto"/>
      </w:pPr>
      <w:r>
        <w:separator/>
      </w:r>
    </w:p>
  </w:endnote>
  <w:endnote w:type="continuationSeparator" w:id="0">
    <w:p w14:paraId="4F202D06" w14:textId="77777777" w:rsidR="001430CE" w:rsidRDefault="001430CE" w:rsidP="00C35852">
      <w:pPr>
        <w:spacing w:after="0" w:line="240" w:lineRule="auto"/>
      </w:pPr>
      <w:r>
        <w:continuationSeparator/>
      </w:r>
    </w:p>
  </w:endnote>
  <w:endnote w:type="continuationNotice" w:id="1">
    <w:p w14:paraId="708F6963" w14:textId="77777777" w:rsidR="001430CE" w:rsidRDefault="00143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D059" w14:textId="77777777" w:rsidR="001430CE" w:rsidRDefault="001430CE" w:rsidP="00C35852">
      <w:pPr>
        <w:spacing w:after="0" w:line="240" w:lineRule="auto"/>
      </w:pPr>
      <w:r>
        <w:separator/>
      </w:r>
    </w:p>
  </w:footnote>
  <w:footnote w:type="continuationSeparator" w:id="0">
    <w:p w14:paraId="4B59D8E6" w14:textId="77777777" w:rsidR="001430CE" w:rsidRDefault="001430CE" w:rsidP="00C35852">
      <w:pPr>
        <w:spacing w:after="0" w:line="240" w:lineRule="auto"/>
      </w:pPr>
      <w:r>
        <w:continuationSeparator/>
      </w:r>
    </w:p>
  </w:footnote>
  <w:footnote w:type="continuationNotice" w:id="1">
    <w:p w14:paraId="2A2678E7" w14:textId="77777777" w:rsidR="001430CE" w:rsidRDefault="001430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728"/>
    <w:multiLevelType w:val="hybridMultilevel"/>
    <w:tmpl w:val="288E2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13F16"/>
    <w:multiLevelType w:val="hybridMultilevel"/>
    <w:tmpl w:val="F468F3A6"/>
    <w:lvl w:ilvl="0" w:tplc="DB0280F0">
      <w:start w:val="945"/>
      <w:numFmt w:val="bullet"/>
      <w:lvlText w:val="•"/>
      <w:lvlJc w:val="left"/>
      <w:pPr>
        <w:ind w:left="810" w:hanging="360"/>
      </w:pPr>
      <w:rPr>
        <w:rFonts w:ascii="Aptos" w:eastAsiaTheme="minorHAnsi" w:hAnsi="Aptos"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24AF7F38"/>
    <w:multiLevelType w:val="hybridMultilevel"/>
    <w:tmpl w:val="1278C3DA"/>
    <w:lvl w:ilvl="0" w:tplc="DB0280F0">
      <w:start w:val="945"/>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271B7B49"/>
    <w:multiLevelType w:val="hybridMultilevel"/>
    <w:tmpl w:val="072C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C0991"/>
    <w:multiLevelType w:val="hybridMultilevel"/>
    <w:tmpl w:val="778E0A6E"/>
    <w:lvl w:ilvl="0" w:tplc="DB0280F0">
      <w:start w:val="945"/>
      <w:numFmt w:val="bullet"/>
      <w:lvlText w:val="•"/>
      <w:lvlJc w:val="left"/>
      <w:pPr>
        <w:ind w:left="810" w:hanging="360"/>
      </w:pPr>
      <w:rPr>
        <w:rFonts w:ascii="Aptos" w:eastAsiaTheme="minorHAnsi" w:hAnsi="Aptos"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480E7AF4"/>
    <w:multiLevelType w:val="hybridMultilevel"/>
    <w:tmpl w:val="708C1896"/>
    <w:lvl w:ilvl="0" w:tplc="DB0280F0">
      <w:start w:val="945"/>
      <w:numFmt w:val="bullet"/>
      <w:lvlText w:val="•"/>
      <w:lvlJc w:val="left"/>
      <w:pPr>
        <w:ind w:left="810" w:hanging="360"/>
      </w:pPr>
      <w:rPr>
        <w:rFonts w:ascii="Aptos" w:eastAsiaTheme="minorHAnsi" w:hAnsi="Aptos"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21C6"/>
    <w:multiLevelType w:val="hybridMultilevel"/>
    <w:tmpl w:val="B7DE6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815C47"/>
    <w:multiLevelType w:val="hybridMultilevel"/>
    <w:tmpl w:val="B72A3B00"/>
    <w:lvl w:ilvl="0" w:tplc="DB0280F0">
      <w:start w:val="945"/>
      <w:numFmt w:val="bullet"/>
      <w:lvlText w:val="•"/>
      <w:lvlJc w:val="left"/>
      <w:pPr>
        <w:ind w:left="450"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5C921DD6"/>
    <w:multiLevelType w:val="hybridMultilevel"/>
    <w:tmpl w:val="F12A8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9479F6"/>
    <w:multiLevelType w:val="hybridMultilevel"/>
    <w:tmpl w:val="84D2F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795374"/>
    <w:multiLevelType w:val="multilevel"/>
    <w:tmpl w:val="AFE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79852">
    <w:abstractNumId w:val="3"/>
  </w:num>
  <w:num w:numId="2" w16cid:durableId="1272469665">
    <w:abstractNumId w:val="2"/>
  </w:num>
  <w:num w:numId="3" w16cid:durableId="2133789981">
    <w:abstractNumId w:val="5"/>
  </w:num>
  <w:num w:numId="4" w16cid:durableId="1282882659">
    <w:abstractNumId w:val="7"/>
  </w:num>
  <w:num w:numId="5" w16cid:durableId="1526560815">
    <w:abstractNumId w:val="8"/>
  </w:num>
  <w:num w:numId="6" w16cid:durableId="469634952">
    <w:abstractNumId w:val="0"/>
  </w:num>
  <w:num w:numId="7" w16cid:durableId="507604399">
    <w:abstractNumId w:val="1"/>
  </w:num>
  <w:num w:numId="8" w16cid:durableId="1074090440">
    <w:abstractNumId w:val="4"/>
  </w:num>
  <w:num w:numId="9" w16cid:durableId="1475222123">
    <w:abstractNumId w:val="10"/>
  </w:num>
  <w:num w:numId="10" w16cid:durableId="73095468">
    <w:abstractNumId w:val="9"/>
  </w:num>
  <w:num w:numId="11" w16cid:durableId="497235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52"/>
    <w:rsid w:val="000030C6"/>
    <w:rsid w:val="000041FD"/>
    <w:rsid w:val="000242A9"/>
    <w:rsid w:val="0007539F"/>
    <w:rsid w:val="00091D8A"/>
    <w:rsid w:val="000A7F34"/>
    <w:rsid w:val="000C6F0A"/>
    <w:rsid w:val="000D4E26"/>
    <w:rsid w:val="00120AC0"/>
    <w:rsid w:val="0012174D"/>
    <w:rsid w:val="001430CE"/>
    <w:rsid w:val="00150794"/>
    <w:rsid w:val="001577F9"/>
    <w:rsid w:val="0016618D"/>
    <w:rsid w:val="001B5C38"/>
    <w:rsid w:val="001D04D0"/>
    <w:rsid w:val="001D0F44"/>
    <w:rsid w:val="002417F4"/>
    <w:rsid w:val="00261A67"/>
    <w:rsid w:val="00265D53"/>
    <w:rsid w:val="002719D3"/>
    <w:rsid w:val="002934F5"/>
    <w:rsid w:val="002E4F18"/>
    <w:rsid w:val="00351FC9"/>
    <w:rsid w:val="0036157E"/>
    <w:rsid w:val="00366F5E"/>
    <w:rsid w:val="003B0CD5"/>
    <w:rsid w:val="003C3069"/>
    <w:rsid w:val="003C7CDF"/>
    <w:rsid w:val="003E1933"/>
    <w:rsid w:val="0040251D"/>
    <w:rsid w:val="00404FA1"/>
    <w:rsid w:val="004169C0"/>
    <w:rsid w:val="00443351"/>
    <w:rsid w:val="004970E1"/>
    <w:rsid w:val="004A4A97"/>
    <w:rsid w:val="004A5D6D"/>
    <w:rsid w:val="004C347C"/>
    <w:rsid w:val="004D3743"/>
    <w:rsid w:val="004E4425"/>
    <w:rsid w:val="004E4B64"/>
    <w:rsid w:val="004F24C3"/>
    <w:rsid w:val="00504D58"/>
    <w:rsid w:val="00505067"/>
    <w:rsid w:val="00547744"/>
    <w:rsid w:val="00562D58"/>
    <w:rsid w:val="00564132"/>
    <w:rsid w:val="00582A24"/>
    <w:rsid w:val="00592BF1"/>
    <w:rsid w:val="005D417C"/>
    <w:rsid w:val="005E5FFA"/>
    <w:rsid w:val="005E6E68"/>
    <w:rsid w:val="00612EBC"/>
    <w:rsid w:val="00643B8B"/>
    <w:rsid w:val="00693489"/>
    <w:rsid w:val="00697CE1"/>
    <w:rsid w:val="006A0178"/>
    <w:rsid w:val="006A114B"/>
    <w:rsid w:val="006A470E"/>
    <w:rsid w:val="006A564F"/>
    <w:rsid w:val="006C0BFE"/>
    <w:rsid w:val="006C78D0"/>
    <w:rsid w:val="006D20D2"/>
    <w:rsid w:val="00713613"/>
    <w:rsid w:val="00732C14"/>
    <w:rsid w:val="00743F2B"/>
    <w:rsid w:val="00744E88"/>
    <w:rsid w:val="00751F99"/>
    <w:rsid w:val="007531A4"/>
    <w:rsid w:val="00797EBA"/>
    <w:rsid w:val="007A74DF"/>
    <w:rsid w:val="007C7662"/>
    <w:rsid w:val="007D4E94"/>
    <w:rsid w:val="007F1312"/>
    <w:rsid w:val="0080205D"/>
    <w:rsid w:val="00830EB4"/>
    <w:rsid w:val="00862307"/>
    <w:rsid w:val="008A46E9"/>
    <w:rsid w:val="008A736F"/>
    <w:rsid w:val="008D1C74"/>
    <w:rsid w:val="00905264"/>
    <w:rsid w:val="00921261"/>
    <w:rsid w:val="00980B89"/>
    <w:rsid w:val="00983AA2"/>
    <w:rsid w:val="00984493"/>
    <w:rsid w:val="009A1683"/>
    <w:rsid w:val="009B400A"/>
    <w:rsid w:val="009C0B6A"/>
    <w:rsid w:val="009C2DBA"/>
    <w:rsid w:val="009C5DE9"/>
    <w:rsid w:val="00A10987"/>
    <w:rsid w:val="00A2388A"/>
    <w:rsid w:val="00A3238B"/>
    <w:rsid w:val="00A3574F"/>
    <w:rsid w:val="00A54CC6"/>
    <w:rsid w:val="00A732F8"/>
    <w:rsid w:val="00A77E97"/>
    <w:rsid w:val="00A919EC"/>
    <w:rsid w:val="00AA73B8"/>
    <w:rsid w:val="00AD6926"/>
    <w:rsid w:val="00B06A23"/>
    <w:rsid w:val="00B258D1"/>
    <w:rsid w:val="00B642AB"/>
    <w:rsid w:val="00B7254E"/>
    <w:rsid w:val="00B904FC"/>
    <w:rsid w:val="00B91B3B"/>
    <w:rsid w:val="00BD54BE"/>
    <w:rsid w:val="00C20FED"/>
    <w:rsid w:val="00C35852"/>
    <w:rsid w:val="00C44355"/>
    <w:rsid w:val="00C669AC"/>
    <w:rsid w:val="00C76C18"/>
    <w:rsid w:val="00CE37DA"/>
    <w:rsid w:val="00CF5A38"/>
    <w:rsid w:val="00D1098A"/>
    <w:rsid w:val="00D43649"/>
    <w:rsid w:val="00D47E01"/>
    <w:rsid w:val="00D514CA"/>
    <w:rsid w:val="00D55674"/>
    <w:rsid w:val="00D67D07"/>
    <w:rsid w:val="00D87D6B"/>
    <w:rsid w:val="00DA2786"/>
    <w:rsid w:val="00DD3E10"/>
    <w:rsid w:val="00DF2FA6"/>
    <w:rsid w:val="00E007CE"/>
    <w:rsid w:val="00E02E12"/>
    <w:rsid w:val="00E24EB0"/>
    <w:rsid w:val="00E352BE"/>
    <w:rsid w:val="00E5675A"/>
    <w:rsid w:val="00E615B2"/>
    <w:rsid w:val="00E61C1A"/>
    <w:rsid w:val="00E749D0"/>
    <w:rsid w:val="00EA04F6"/>
    <w:rsid w:val="00EA3F20"/>
    <w:rsid w:val="00EA5CB1"/>
    <w:rsid w:val="00EB71A5"/>
    <w:rsid w:val="00EC731D"/>
    <w:rsid w:val="00EE103A"/>
    <w:rsid w:val="00EE5C4A"/>
    <w:rsid w:val="00F12683"/>
    <w:rsid w:val="00F164D9"/>
    <w:rsid w:val="00F22076"/>
    <w:rsid w:val="00F25AAA"/>
    <w:rsid w:val="00F62610"/>
    <w:rsid w:val="00FB7FDD"/>
    <w:rsid w:val="00FD09E7"/>
    <w:rsid w:val="00FF09D9"/>
    <w:rsid w:val="00FF5A9B"/>
    <w:rsid w:val="00FF7038"/>
    <w:rsid w:val="0EFF9414"/>
    <w:rsid w:val="1E62353F"/>
    <w:rsid w:val="3BBAB801"/>
    <w:rsid w:val="3DE4BCDB"/>
    <w:rsid w:val="46DC55DC"/>
    <w:rsid w:val="4E082CBB"/>
    <w:rsid w:val="5B782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84E9"/>
  <w15:chartTrackingRefBased/>
  <w15:docId w15:val="{9B4D18A1-5C14-418C-8237-6DF7A114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5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5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852"/>
    <w:rPr>
      <w:rFonts w:eastAsiaTheme="majorEastAsia" w:cstheme="majorBidi"/>
      <w:color w:val="272727" w:themeColor="text1" w:themeTint="D8"/>
    </w:rPr>
  </w:style>
  <w:style w:type="paragraph" w:styleId="Title">
    <w:name w:val="Title"/>
    <w:basedOn w:val="Normal"/>
    <w:next w:val="Normal"/>
    <w:link w:val="TitleChar"/>
    <w:uiPriority w:val="10"/>
    <w:qFormat/>
    <w:rsid w:val="00C35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852"/>
    <w:pPr>
      <w:spacing w:before="160"/>
      <w:jc w:val="center"/>
    </w:pPr>
    <w:rPr>
      <w:i/>
      <w:iCs/>
      <w:color w:val="404040" w:themeColor="text1" w:themeTint="BF"/>
    </w:rPr>
  </w:style>
  <w:style w:type="character" w:customStyle="1" w:styleId="QuoteChar">
    <w:name w:val="Quote Char"/>
    <w:basedOn w:val="DefaultParagraphFont"/>
    <w:link w:val="Quote"/>
    <w:uiPriority w:val="29"/>
    <w:rsid w:val="00C35852"/>
    <w:rPr>
      <w:i/>
      <w:iCs/>
      <w:color w:val="404040" w:themeColor="text1" w:themeTint="BF"/>
    </w:rPr>
  </w:style>
  <w:style w:type="paragraph" w:styleId="ListParagraph">
    <w:name w:val="List Paragraph"/>
    <w:basedOn w:val="Normal"/>
    <w:uiPriority w:val="34"/>
    <w:qFormat/>
    <w:rsid w:val="00C35852"/>
    <w:pPr>
      <w:ind w:left="720"/>
      <w:contextualSpacing/>
    </w:pPr>
  </w:style>
  <w:style w:type="character" w:styleId="IntenseEmphasis">
    <w:name w:val="Intense Emphasis"/>
    <w:basedOn w:val="DefaultParagraphFont"/>
    <w:uiPriority w:val="21"/>
    <w:qFormat/>
    <w:rsid w:val="00C35852"/>
    <w:rPr>
      <w:i/>
      <w:iCs/>
      <w:color w:val="0F4761" w:themeColor="accent1" w:themeShade="BF"/>
    </w:rPr>
  </w:style>
  <w:style w:type="paragraph" w:styleId="IntenseQuote">
    <w:name w:val="Intense Quote"/>
    <w:basedOn w:val="Normal"/>
    <w:next w:val="Normal"/>
    <w:link w:val="IntenseQuoteChar"/>
    <w:uiPriority w:val="30"/>
    <w:qFormat/>
    <w:rsid w:val="00C35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852"/>
    <w:rPr>
      <w:i/>
      <w:iCs/>
      <w:color w:val="0F4761" w:themeColor="accent1" w:themeShade="BF"/>
    </w:rPr>
  </w:style>
  <w:style w:type="character" w:styleId="IntenseReference">
    <w:name w:val="Intense Reference"/>
    <w:basedOn w:val="DefaultParagraphFont"/>
    <w:uiPriority w:val="32"/>
    <w:qFormat/>
    <w:rsid w:val="00C35852"/>
    <w:rPr>
      <w:b/>
      <w:bCs/>
      <w:smallCaps/>
      <w:color w:val="0F4761" w:themeColor="accent1" w:themeShade="BF"/>
      <w:spacing w:val="5"/>
    </w:rPr>
  </w:style>
  <w:style w:type="paragraph" w:styleId="Header">
    <w:name w:val="header"/>
    <w:basedOn w:val="Normal"/>
    <w:link w:val="HeaderChar"/>
    <w:uiPriority w:val="99"/>
    <w:unhideWhenUsed/>
    <w:rsid w:val="00C35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52"/>
  </w:style>
  <w:style w:type="paragraph" w:styleId="Footer">
    <w:name w:val="footer"/>
    <w:basedOn w:val="Normal"/>
    <w:link w:val="FooterChar"/>
    <w:uiPriority w:val="99"/>
    <w:unhideWhenUsed/>
    <w:rsid w:val="00C35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52"/>
  </w:style>
  <w:style w:type="paragraph" w:styleId="NoSpacing">
    <w:name w:val="No Spacing"/>
    <w:uiPriority w:val="1"/>
    <w:qFormat/>
    <w:rsid w:val="00C35852"/>
    <w:pPr>
      <w:spacing w:after="0" w:line="240" w:lineRule="auto"/>
    </w:pPr>
  </w:style>
  <w:style w:type="table" w:styleId="TableGrid">
    <w:name w:val="Table Grid"/>
    <w:basedOn w:val="TableNormal"/>
    <w:uiPriority w:val="39"/>
    <w:rsid w:val="00C3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355"/>
    <w:rPr>
      <w:color w:val="467886" w:themeColor="hyperlink"/>
      <w:u w:val="single"/>
    </w:rPr>
  </w:style>
  <w:style w:type="character" w:styleId="UnresolvedMention">
    <w:name w:val="Unresolved Mention"/>
    <w:basedOn w:val="DefaultParagraphFont"/>
    <w:uiPriority w:val="99"/>
    <w:semiHidden/>
    <w:unhideWhenUsed/>
    <w:rsid w:val="00C44355"/>
    <w:rPr>
      <w:color w:val="605E5C"/>
      <w:shd w:val="clear" w:color="auto" w:fill="E1DFDD"/>
    </w:rPr>
  </w:style>
  <w:style w:type="character" w:styleId="CommentReference">
    <w:name w:val="annotation reference"/>
    <w:basedOn w:val="DefaultParagraphFont"/>
    <w:uiPriority w:val="99"/>
    <w:semiHidden/>
    <w:unhideWhenUsed/>
    <w:rsid w:val="007531A4"/>
    <w:rPr>
      <w:sz w:val="16"/>
      <w:szCs w:val="16"/>
    </w:rPr>
  </w:style>
  <w:style w:type="paragraph" w:styleId="CommentText">
    <w:name w:val="annotation text"/>
    <w:basedOn w:val="Normal"/>
    <w:link w:val="CommentTextChar"/>
    <w:uiPriority w:val="99"/>
    <w:unhideWhenUsed/>
    <w:rsid w:val="007531A4"/>
    <w:pPr>
      <w:spacing w:line="240" w:lineRule="auto"/>
    </w:pPr>
    <w:rPr>
      <w:sz w:val="20"/>
      <w:szCs w:val="20"/>
    </w:rPr>
  </w:style>
  <w:style w:type="character" w:customStyle="1" w:styleId="CommentTextChar">
    <w:name w:val="Comment Text Char"/>
    <w:basedOn w:val="DefaultParagraphFont"/>
    <w:link w:val="CommentText"/>
    <w:uiPriority w:val="99"/>
    <w:rsid w:val="007531A4"/>
    <w:rPr>
      <w:sz w:val="20"/>
      <w:szCs w:val="20"/>
    </w:rPr>
  </w:style>
  <w:style w:type="paragraph" w:styleId="CommentSubject">
    <w:name w:val="annotation subject"/>
    <w:basedOn w:val="CommentText"/>
    <w:next w:val="CommentText"/>
    <w:link w:val="CommentSubjectChar"/>
    <w:uiPriority w:val="99"/>
    <w:semiHidden/>
    <w:unhideWhenUsed/>
    <w:rsid w:val="007531A4"/>
    <w:rPr>
      <w:b/>
      <w:bCs/>
    </w:rPr>
  </w:style>
  <w:style w:type="character" w:customStyle="1" w:styleId="CommentSubjectChar">
    <w:name w:val="Comment Subject Char"/>
    <w:basedOn w:val="CommentTextChar"/>
    <w:link w:val="CommentSubject"/>
    <w:uiPriority w:val="99"/>
    <w:semiHidden/>
    <w:rsid w:val="00753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4538">
      <w:bodyDiv w:val="1"/>
      <w:marLeft w:val="0"/>
      <w:marRight w:val="0"/>
      <w:marTop w:val="0"/>
      <w:marBottom w:val="0"/>
      <w:divBdr>
        <w:top w:val="none" w:sz="0" w:space="0" w:color="auto"/>
        <w:left w:val="none" w:sz="0" w:space="0" w:color="auto"/>
        <w:bottom w:val="none" w:sz="0" w:space="0" w:color="auto"/>
        <w:right w:val="none" w:sz="0" w:space="0" w:color="auto"/>
      </w:divBdr>
    </w:div>
    <w:div w:id="1031612820">
      <w:bodyDiv w:val="1"/>
      <w:marLeft w:val="0"/>
      <w:marRight w:val="0"/>
      <w:marTop w:val="0"/>
      <w:marBottom w:val="0"/>
      <w:divBdr>
        <w:top w:val="none" w:sz="0" w:space="0" w:color="auto"/>
        <w:left w:val="none" w:sz="0" w:space="0" w:color="auto"/>
        <w:bottom w:val="none" w:sz="0" w:space="0" w:color="auto"/>
        <w:right w:val="none" w:sz="0" w:space="0" w:color="auto"/>
      </w:divBdr>
      <w:divsChild>
        <w:div w:id="2043626984">
          <w:marLeft w:val="0"/>
          <w:marRight w:val="0"/>
          <w:marTop w:val="0"/>
          <w:marBottom w:val="0"/>
          <w:divBdr>
            <w:top w:val="none" w:sz="0" w:space="0" w:color="auto"/>
            <w:left w:val="none" w:sz="0" w:space="0" w:color="auto"/>
            <w:bottom w:val="none" w:sz="0" w:space="0" w:color="auto"/>
            <w:right w:val="none" w:sz="0" w:space="0" w:color="auto"/>
          </w:divBdr>
        </w:div>
      </w:divsChild>
    </w:div>
    <w:div w:id="1559046303">
      <w:bodyDiv w:val="1"/>
      <w:marLeft w:val="0"/>
      <w:marRight w:val="0"/>
      <w:marTop w:val="0"/>
      <w:marBottom w:val="0"/>
      <w:divBdr>
        <w:top w:val="none" w:sz="0" w:space="0" w:color="auto"/>
        <w:left w:val="none" w:sz="0" w:space="0" w:color="auto"/>
        <w:bottom w:val="none" w:sz="0" w:space="0" w:color="auto"/>
        <w:right w:val="none" w:sz="0" w:space="0" w:color="auto"/>
      </w:divBdr>
      <w:divsChild>
        <w:div w:id="10068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keytravel.com/uk/lo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keytravel.com/uk/lo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keytravel.com/uk/log-in" TargetMode="External"/><Relationship Id="rId5" Type="http://schemas.openxmlformats.org/officeDocument/2006/relationships/styles" Target="styles.xml"/><Relationship Id="rId15" Type="http://schemas.openxmlformats.org/officeDocument/2006/relationships/hyperlink" Target="https://my.keytravel.com/uk/log-in"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keytravel.com/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6" ma:contentTypeDescription="Create a new document." ma:contentTypeScope="" ma:versionID="329e8c2fc542da71719de95a57497a8d">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5a3eec85f1c5d911814f44621b07f162"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7eae6f-c6e6-46f8-8844-d81c4f9788af}"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4295C-5AF1-4C71-B674-0995E0567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DBFF0-1D84-486D-932A-BB8AB408B5F2}">
  <ds:schemaRefs>
    <ds:schemaRef ds:uri="http://schemas.microsoft.com/sharepoint/v3/contenttype/forms"/>
  </ds:schemaRefs>
</ds:datastoreItem>
</file>

<file path=customXml/itemProps3.xml><?xml version="1.0" encoding="utf-8"?>
<ds:datastoreItem xmlns:ds="http://schemas.openxmlformats.org/officeDocument/2006/customXml" ds:itemID="{96034F2C-4028-4AED-B3DD-2CA6E6499C76}">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80d6cebe-6bc5-4fc1-8743-43be78958a5c"/>
    <ds:schemaRef ds:uri="670e9a06-2558-4476-a465-8b2886ca3e74"/>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1220</Words>
  <Characters>9730</Characters>
  <Application>Microsoft Office Word</Application>
  <DocSecurity>0</DocSecurity>
  <Lines>207</Lines>
  <Paragraphs>109</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Policy Draft Jan 25</dc:title>
  <dc:subject/>
  <dc:creator>Andrew Williams</dc:creator>
  <cp:keywords/>
  <dc:description/>
  <cp:lastModifiedBy>Nicola Heaney</cp:lastModifiedBy>
  <cp:revision>4</cp:revision>
  <dcterms:created xsi:type="dcterms:W3CDTF">2025-06-27T10:33:00Z</dcterms:created>
  <dcterms:modified xsi:type="dcterms:W3CDTF">2025-06-27T10:34:00Z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2025-01-20T11:37:25Z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cfd0dbe4-aa58-43a4-a441-eb1acf4502ff</vt:lpwstr>
  </property>
  <property fmtid="{D5CDD505-2E9C-101B-9397-08002B2CF9AE}" pid="8" name="MSIP_Label_43c9f532-f68c-4710-a80c-2dea02e48496_ContentBits">
    <vt:lpwstr>0</vt:lpwstr>
  </property>
  <property fmtid="{D5CDD505-2E9C-101B-9397-08002B2CF9AE}" pid="9" name="ContentTypeId">
    <vt:lpwstr>0x01010024CCDB5FF491D143B9855EA991689B6A</vt:lpwstr>
  </property>
  <property fmtid="{D5CDD505-2E9C-101B-9397-08002B2CF9AE}" pid="10" name="MediaServiceImageTags">
    <vt:lpwstr/>
  </property>
</Properties>
</file>