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F5EF" w14:textId="3D31F32B" w:rsidR="005022C7" w:rsidRPr="005022C7" w:rsidRDefault="005022C7" w:rsidP="005022C7">
      <w:pPr>
        <w:widowControl w:val="0"/>
        <w:spacing w:line="240" w:lineRule="atLeast"/>
        <w:ind w:left="720"/>
        <w:jc w:val="right"/>
        <w:rPr>
          <w:rFonts w:ascii="Arial" w:eastAsia="Times New Roman" w:hAnsi="Arial" w:cs="Arial"/>
          <w:b/>
          <w:sz w:val="20"/>
          <w:szCs w:val="20"/>
        </w:rPr>
      </w:pPr>
    </w:p>
    <w:p w14:paraId="1C60DADF" w14:textId="77777777" w:rsidR="005022C7" w:rsidRPr="005022C7" w:rsidRDefault="005022C7" w:rsidP="005022C7">
      <w:pPr>
        <w:widowControl w:val="0"/>
        <w:spacing w:line="240" w:lineRule="atLeast"/>
        <w:rPr>
          <w:rFonts w:ascii="Arial" w:eastAsia="Times New Roman" w:hAnsi="Arial" w:cs="Arial"/>
          <w:b/>
          <w:sz w:val="20"/>
          <w:szCs w:val="20"/>
        </w:rPr>
      </w:pPr>
    </w:p>
    <w:p w14:paraId="4AB95907" w14:textId="77777777" w:rsidR="005022C7" w:rsidRPr="005022C7" w:rsidRDefault="005022C7" w:rsidP="005022C7">
      <w:pPr>
        <w:widowControl w:val="0"/>
        <w:spacing w:line="240" w:lineRule="atLeast"/>
        <w:rPr>
          <w:rFonts w:ascii="Arial" w:eastAsia="Times New Roman" w:hAnsi="Arial" w:cs="Arial"/>
          <w:b/>
          <w:sz w:val="20"/>
          <w:szCs w:val="20"/>
        </w:rPr>
      </w:pPr>
    </w:p>
    <w:p w14:paraId="6B5F2F8D" w14:textId="77777777" w:rsidR="005022C7" w:rsidRPr="005022C7" w:rsidRDefault="005022C7" w:rsidP="005022C7">
      <w:pPr>
        <w:widowControl w:val="0"/>
        <w:spacing w:line="240" w:lineRule="atLeast"/>
        <w:rPr>
          <w:rFonts w:ascii="Arial" w:eastAsia="Times New Roman" w:hAnsi="Arial" w:cs="Arial"/>
          <w:b/>
          <w:sz w:val="20"/>
          <w:szCs w:val="20"/>
        </w:rPr>
      </w:pPr>
    </w:p>
    <w:p w14:paraId="3DB02D28" w14:textId="77777777" w:rsidR="005022C7" w:rsidRPr="005022C7" w:rsidRDefault="005022C7" w:rsidP="005022C7">
      <w:pPr>
        <w:widowControl w:val="0"/>
        <w:spacing w:line="240" w:lineRule="atLeast"/>
        <w:rPr>
          <w:rFonts w:ascii="Arial" w:eastAsia="Times New Roman" w:hAnsi="Arial" w:cs="Arial"/>
          <w:b/>
          <w:sz w:val="20"/>
          <w:szCs w:val="20"/>
        </w:rPr>
      </w:pPr>
    </w:p>
    <w:p w14:paraId="2AC137F7" w14:textId="77777777" w:rsidR="005022C7" w:rsidRPr="005022C7" w:rsidRDefault="005022C7" w:rsidP="005022C7">
      <w:pPr>
        <w:widowControl w:val="0"/>
        <w:spacing w:line="240" w:lineRule="atLeast"/>
        <w:rPr>
          <w:rFonts w:ascii="Arial" w:eastAsia="Times New Roman" w:hAnsi="Arial" w:cs="Arial"/>
          <w:b/>
          <w:sz w:val="20"/>
          <w:szCs w:val="20"/>
        </w:rPr>
      </w:pPr>
    </w:p>
    <w:p w14:paraId="518CCFCD" w14:textId="77777777" w:rsidR="005022C7" w:rsidRPr="005022C7" w:rsidRDefault="005022C7" w:rsidP="005022C7">
      <w:pPr>
        <w:widowControl w:val="0"/>
        <w:spacing w:line="240" w:lineRule="atLeast"/>
        <w:rPr>
          <w:rFonts w:ascii="Arial" w:eastAsia="Times New Roman" w:hAnsi="Arial" w:cs="Arial"/>
          <w:b/>
          <w:sz w:val="20"/>
          <w:szCs w:val="20"/>
        </w:rPr>
      </w:pPr>
    </w:p>
    <w:p w14:paraId="220CD9D8" w14:textId="77777777" w:rsidR="005022C7" w:rsidRPr="00A931AA" w:rsidRDefault="005022C7" w:rsidP="00A931AA">
      <w:pPr>
        <w:pStyle w:val="Heading1"/>
      </w:pPr>
      <w:r w:rsidRPr="00A931AA">
        <w:t>RISK APPETITE STATEMENT</w:t>
      </w:r>
    </w:p>
    <w:p w14:paraId="620DFC4C" w14:textId="77777777" w:rsidR="005022C7" w:rsidRPr="005022C7" w:rsidRDefault="005022C7" w:rsidP="005022C7">
      <w:pPr>
        <w:spacing w:line="288" w:lineRule="exact"/>
        <w:rPr>
          <w:rFonts w:ascii="Arial" w:hAnsi="Arial" w:cs="Arial"/>
          <w:sz w:val="20"/>
          <w:szCs w:val="20"/>
        </w:rPr>
      </w:pPr>
    </w:p>
    <w:p w14:paraId="63316DB8" w14:textId="77777777" w:rsidR="005022C7" w:rsidRPr="005022C7" w:rsidRDefault="005022C7" w:rsidP="005022C7">
      <w:pPr>
        <w:spacing w:line="288" w:lineRule="exact"/>
        <w:rPr>
          <w:rFonts w:ascii="Arial" w:hAnsi="Arial" w:cs="Arial"/>
          <w:sz w:val="20"/>
          <w:szCs w:val="20"/>
        </w:rPr>
      </w:pPr>
    </w:p>
    <w:p w14:paraId="7A4B181D" w14:textId="3EA55EDB" w:rsidR="005022C7" w:rsidRPr="00DE7DB7" w:rsidRDefault="005022C7" w:rsidP="00DE7DB7">
      <w:pPr>
        <w:pStyle w:val="Heading2"/>
      </w:pPr>
      <w:r w:rsidRPr="00DE7DB7">
        <w:t>1</w:t>
      </w:r>
      <w:r w:rsidRPr="00DE7DB7">
        <w:tab/>
      </w:r>
      <w:r w:rsidR="00040917" w:rsidRPr="00DE7DB7">
        <w:t xml:space="preserve">Introduction </w:t>
      </w:r>
    </w:p>
    <w:p w14:paraId="2DE8FC6F" w14:textId="77777777" w:rsidR="005022C7" w:rsidRPr="005022C7" w:rsidRDefault="005022C7" w:rsidP="005022C7">
      <w:pPr>
        <w:spacing w:line="288" w:lineRule="exact"/>
        <w:rPr>
          <w:rFonts w:ascii="Arial" w:hAnsi="Arial" w:cs="Arial"/>
          <w:sz w:val="20"/>
          <w:szCs w:val="20"/>
        </w:rPr>
      </w:pPr>
    </w:p>
    <w:p w14:paraId="2A7C0BDF" w14:textId="77777777" w:rsidR="00732504" w:rsidRPr="004A0E9A" w:rsidRDefault="00732504" w:rsidP="004A0E9A">
      <w:pPr>
        <w:spacing w:after="160" w:line="259" w:lineRule="auto"/>
        <w:rPr>
          <w:rFonts w:ascii="Arial" w:hAnsi="Arial" w:cs="Arial"/>
          <w:szCs w:val="24"/>
        </w:rPr>
      </w:pPr>
      <w:r w:rsidRPr="005022C7">
        <w:rPr>
          <w:rFonts w:ascii="Arial" w:hAnsi="Arial" w:cs="Arial"/>
          <w:sz w:val="20"/>
          <w:szCs w:val="20"/>
        </w:rPr>
        <w:t>“</w:t>
      </w:r>
      <w:r w:rsidRPr="004A0E9A">
        <w:rPr>
          <w:rFonts w:ascii="Arial" w:hAnsi="Arial" w:cs="Arial"/>
          <w:szCs w:val="24"/>
        </w:rPr>
        <w:t>Risk appetite is the amount of risk an organization is willing to accept in pursuit of strategic goals … Risk appetite is a matter of judgement based on each company’s specific circumstances and objectives. There is no one-size-fits-all solution.”</w:t>
      </w:r>
      <w:r w:rsidRPr="004A0E9A">
        <w:rPr>
          <w:rFonts w:ascii="Arial" w:hAnsi="Arial" w:cs="Arial"/>
          <w:szCs w:val="24"/>
        </w:rPr>
        <w:footnoteReference w:id="2"/>
      </w:r>
    </w:p>
    <w:p w14:paraId="5E28F761" w14:textId="5CDF2CCC" w:rsidR="005022C7" w:rsidRPr="004A0E9A" w:rsidRDefault="005022C7" w:rsidP="004A0E9A">
      <w:pPr>
        <w:spacing w:after="160" w:line="259" w:lineRule="auto"/>
        <w:rPr>
          <w:rFonts w:ascii="Arial" w:hAnsi="Arial" w:cs="Arial"/>
          <w:szCs w:val="24"/>
        </w:rPr>
      </w:pPr>
      <w:r w:rsidRPr="004A0E9A">
        <w:rPr>
          <w:rFonts w:ascii="Arial" w:hAnsi="Arial" w:cs="Arial"/>
          <w:szCs w:val="24"/>
        </w:rPr>
        <w:t xml:space="preserve">The University takes a responsible and managed approach to risk, </w:t>
      </w:r>
      <w:r w:rsidR="00E04144" w:rsidRPr="004A0E9A">
        <w:rPr>
          <w:rFonts w:ascii="Arial" w:hAnsi="Arial" w:cs="Arial"/>
          <w:szCs w:val="24"/>
        </w:rPr>
        <w:t xml:space="preserve">identifying and assessing key </w:t>
      </w:r>
      <w:r w:rsidRPr="004A0E9A">
        <w:rPr>
          <w:rFonts w:ascii="Arial" w:hAnsi="Arial" w:cs="Arial"/>
          <w:szCs w:val="24"/>
        </w:rPr>
        <w:t>risks</w:t>
      </w:r>
      <w:r w:rsidR="0006663B" w:rsidRPr="004A0E9A">
        <w:rPr>
          <w:rFonts w:ascii="Arial" w:hAnsi="Arial" w:cs="Arial"/>
          <w:szCs w:val="24"/>
        </w:rPr>
        <w:t xml:space="preserve"> strategically and operationally,</w:t>
      </w:r>
      <w:r w:rsidRPr="004A0E9A">
        <w:rPr>
          <w:rFonts w:ascii="Arial" w:hAnsi="Arial" w:cs="Arial"/>
          <w:szCs w:val="24"/>
        </w:rPr>
        <w:t xml:space="preserve"> and managing those risks through</w:t>
      </w:r>
      <w:r w:rsidR="0006663B" w:rsidRPr="004A0E9A">
        <w:rPr>
          <w:rFonts w:ascii="Arial" w:hAnsi="Arial" w:cs="Arial"/>
          <w:szCs w:val="24"/>
        </w:rPr>
        <w:t xml:space="preserve"> the</w:t>
      </w:r>
      <w:r w:rsidRPr="004A0E9A">
        <w:rPr>
          <w:rFonts w:ascii="Arial" w:hAnsi="Arial" w:cs="Arial"/>
          <w:szCs w:val="24"/>
        </w:rPr>
        <w:t xml:space="preserve"> effective implementation of:</w:t>
      </w:r>
    </w:p>
    <w:p w14:paraId="7ACC5057" w14:textId="44C38C52" w:rsidR="005022C7" w:rsidRPr="006A5DDE" w:rsidRDefault="005022C7" w:rsidP="006A5DDE">
      <w:pPr>
        <w:pStyle w:val="ListParagraph"/>
        <w:numPr>
          <w:ilvl w:val="0"/>
          <w:numId w:val="14"/>
        </w:numPr>
        <w:spacing w:after="160" w:line="259" w:lineRule="auto"/>
        <w:rPr>
          <w:rFonts w:ascii="Arial" w:hAnsi="Arial" w:cs="Arial"/>
          <w:szCs w:val="24"/>
        </w:rPr>
      </w:pPr>
      <w:r w:rsidRPr="006A5DDE">
        <w:rPr>
          <w:rFonts w:ascii="Arial" w:hAnsi="Arial" w:cs="Arial"/>
          <w:szCs w:val="24"/>
        </w:rPr>
        <w:t xml:space="preserve">An </w:t>
      </w:r>
      <w:r w:rsidR="00E04144" w:rsidRPr="006A5DDE">
        <w:rPr>
          <w:rFonts w:ascii="Arial" w:hAnsi="Arial" w:cs="Arial"/>
          <w:szCs w:val="24"/>
        </w:rPr>
        <w:t>institution-wide Risk Management Policy</w:t>
      </w:r>
      <w:r w:rsidRPr="006A5DDE">
        <w:rPr>
          <w:rFonts w:ascii="Arial" w:hAnsi="Arial" w:cs="Arial"/>
          <w:szCs w:val="24"/>
        </w:rPr>
        <w:t>;</w:t>
      </w:r>
    </w:p>
    <w:p w14:paraId="0B330701" w14:textId="1D7E6542" w:rsidR="005022C7" w:rsidRPr="006A5DDE" w:rsidRDefault="00C802A8" w:rsidP="006A5DDE">
      <w:pPr>
        <w:pStyle w:val="ListParagraph"/>
        <w:numPr>
          <w:ilvl w:val="0"/>
          <w:numId w:val="14"/>
        </w:numPr>
        <w:spacing w:after="160" w:line="259" w:lineRule="auto"/>
        <w:rPr>
          <w:rFonts w:ascii="Arial" w:hAnsi="Arial" w:cs="Arial"/>
          <w:szCs w:val="24"/>
        </w:rPr>
      </w:pPr>
      <w:r w:rsidRPr="006A5DDE">
        <w:rPr>
          <w:rFonts w:ascii="Arial" w:hAnsi="Arial" w:cs="Arial"/>
          <w:szCs w:val="24"/>
        </w:rPr>
        <w:t xml:space="preserve">An </w:t>
      </w:r>
      <w:r w:rsidR="00192256" w:rsidRPr="006A5DDE">
        <w:rPr>
          <w:rFonts w:ascii="Arial" w:hAnsi="Arial" w:cs="Arial"/>
          <w:szCs w:val="24"/>
        </w:rPr>
        <w:t xml:space="preserve">institutional </w:t>
      </w:r>
      <w:r w:rsidR="005A46A1" w:rsidRPr="006A5DDE">
        <w:rPr>
          <w:rFonts w:ascii="Arial" w:hAnsi="Arial" w:cs="Arial"/>
          <w:szCs w:val="24"/>
        </w:rPr>
        <w:t>Strategic Risk Register</w:t>
      </w:r>
      <w:r w:rsidR="005022C7" w:rsidRPr="006A5DDE">
        <w:rPr>
          <w:rFonts w:ascii="Arial" w:hAnsi="Arial" w:cs="Arial"/>
          <w:szCs w:val="24"/>
        </w:rPr>
        <w:t xml:space="preserve"> (</w:t>
      </w:r>
      <w:r w:rsidR="00192256" w:rsidRPr="006A5DDE">
        <w:rPr>
          <w:rFonts w:ascii="Arial" w:hAnsi="Arial" w:cs="Arial"/>
          <w:szCs w:val="24"/>
        </w:rPr>
        <w:t xml:space="preserve">supported by </w:t>
      </w:r>
      <w:r w:rsidR="005022C7" w:rsidRPr="006A5DDE">
        <w:rPr>
          <w:rFonts w:ascii="Arial" w:hAnsi="Arial" w:cs="Arial"/>
          <w:szCs w:val="24"/>
        </w:rPr>
        <w:t xml:space="preserve">underlying registers for each academic </w:t>
      </w:r>
      <w:r w:rsidR="005A46A1" w:rsidRPr="006A5DDE">
        <w:rPr>
          <w:rFonts w:ascii="Arial" w:hAnsi="Arial" w:cs="Arial"/>
          <w:szCs w:val="24"/>
        </w:rPr>
        <w:t>S</w:t>
      </w:r>
      <w:r w:rsidR="005022C7" w:rsidRPr="006A5DDE">
        <w:rPr>
          <w:rFonts w:ascii="Arial" w:hAnsi="Arial" w:cs="Arial"/>
          <w:szCs w:val="24"/>
        </w:rPr>
        <w:t xml:space="preserve">chool and </w:t>
      </w:r>
      <w:r w:rsidR="005A46A1" w:rsidRPr="006A5DDE">
        <w:rPr>
          <w:rFonts w:ascii="Arial" w:hAnsi="Arial" w:cs="Arial"/>
          <w:szCs w:val="24"/>
        </w:rPr>
        <w:t>Professional Service</w:t>
      </w:r>
      <w:r w:rsidR="005022C7" w:rsidRPr="006A5DDE">
        <w:rPr>
          <w:rFonts w:ascii="Arial" w:hAnsi="Arial" w:cs="Arial"/>
          <w:szCs w:val="24"/>
        </w:rPr>
        <w:t xml:space="preserve"> department).</w:t>
      </w:r>
    </w:p>
    <w:p w14:paraId="00E4E57E" w14:textId="3170D532" w:rsidR="006913B0" w:rsidRPr="004A0E9A" w:rsidRDefault="006913B0" w:rsidP="004A0E9A">
      <w:pPr>
        <w:spacing w:after="160" w:line="259" w:lineRule="auto"/>
        <w:rPr>
          <w:rFonts w:ascii="Arial" w:hAnsi="Arial" w:cs="Arial"/>
          <w:szCs w:val="24"/>
        </w:rPr>
      </w:pPr>
      <w:r w:rsidRPr="004A0E9A">
        <w:rPr>
          <w:rFonts w:ascii="Arial" w:hAnsi="Arial" w:cs="Arial"/>
          <w:szCs w:val="24"/>
        </w:rPr>
        <w:t xml:space="preserve">While there will be different thresholds </w:t>
      </w:r>
      <w:r w:rsidR="003E7EBD" w:rsidRPr="004A0E9A">
        <w:rPr>
          <w:rFonts w:ascii="Arial" w:hAnsi="Arial" w:cs="Arial"/>
          <w:szCs w:val="24"/>
        </w:rPr>
        <w:t xml:space="preserve">for the degree of risk which </w:t>
      </w:r>
      <w:r w:rsidR="0006663B" w:rsidRPr="004A0E9A">
        <w:rPr>
          <w:rFonts w:ascii="Arial" w:hAnsi="Arial" w:cs="Arial"/>
          <w:szCs w:val="24"/>
        </w:rPr>
        <w:t>are considered</w:t>
      </w:r>
      <w:r w:rsidR="003E7EBD" w:rsidRPr="004A0E9A">
        <w:rPr>
          <w:rFonts w:ascii="Arial" w:hAnsi="Arial" w:cs="Arial"/>
          <w:szCs w:val="24"/>
        </w:rPr>
        <w:t xml:space="preserve"> acceptable across the University’s core functions and domains,</w:t>
      </w:r>
      <w:r w:rsidR="00327948" w:rsidRPr="004A0E9A">
        <w:rPr>
          <w:rFonts w:ascii="Arial" w:hAnsi="Arial" w:cs="Arial"/>
          <w:szCs w:val="24"/>
        </w:rPr>
        <w:t xml:space="preserve"> due to the differences in their operations and priorities,</w:t>
      </w:r>
      <w:r w:rsidR="003E7EBD" w:rsidRPr="004A0E9A">
        <w:rPr>
          <w:rFonts w:ascii="Arial" w:hAnsi="Arial" w:cs="Arial"/>
          <w:szCs w:val="24"/>
        </w:rPr>
        <w:t xml:space="preserve"> </w:t>
      </w:r>
      <w:r w:rsidR="007667F0" w:rsidRPr="004A0E9A">
        <w:rPr>
          <w:rFonts w:ascii="Arial" w:hAnsi="Arial" w:cs="Arial"/>
          <w:szCs w:val="24"/>
        </w:rPr>
        <w:t xml:space="preserve">the University recognises that there is value in setting out </w:t>
      </w:r>
      <w:r w:rsidR="0015468C" w:rsidRPr="004A0E9A">
        <w:rPr>
          <w:rFonts w:ascii="Arial" w:hAnsi="Arial" w:cs="Arial"/>
          <w:szCs w:val="24"/>
        </w:rPr>
        <w:t>broad</w:t>
      </w:r>
      <w:r w:rsidR="007667F0" w:rsidRPr="004A0E9A">
        <w:rPr>
          <w:rFonts w:ascii="Arial" w:hAnsi="Arial" w:cs="Arial"/>
          <w:szCs w:val="24"/>
        </w:rPr>
        <w:t xml:space="preserve"> parameters for risk appetite</w:t>
      </w:r>
      <w:r w:rsidR="0015468C" w:rsidRPr="004A0E9A">
        <w:rPr>
          <w:rFonts w:ascii="Arial" w:hAnsi="Arial" w:cs="Arial"/>
          <w:szCs w:val="24"/>
        </w:rPr>
        <w:t xml:space="preserve"> across the institution as a whole</w:t>
      </w:r>
      <w:r w:rsidR="007667F0" w:rsidRPr="004A0E9A">
        <w:rPr>
          <w:rFonts w:ascii="Arial" w:hAnsi="Arial" w:cs="Arial"/>
          <w:szCs w:val="24"/>
        </w:rPr>
        <w:t xml:space="preserve">. In particular, setting out an institution-wide risk appetite </w:t>
      </w:r>
      <w:r w:rsidR="0015468C" w:rsidRPr="004A0E9A">
        <w:rPr>
          <w:rFonts w:ascii="Arial" w:hAnsi="Arial" w:cs="Arial"/>
          <w:szCs w:val="24"/>
        </w:rPr>
        <w:t>framework</w:t>
      </w:r>
      <w:r w:rsidR="007667F0" w:rsidRPr="004A0E9A">
        <w:rPr>
          <w:rFonts w:ascii="Arial" w:hAnsi="Arial" w:cs="Arial"/>
          <w:szCs w:val="24"/>
        </w:rPr>
        <w:t xml:space="preserve"> is helpful in demonstrating to Governors, University leaders and administrators, and </w:t>
      </w:r>
      <w:r w:rsidR="005A46A1" w:rsidRPr="004A0E9A">
        <w:rPr>
          <w:rFonts w:ascii="Arial" w:hAnsi="Arial" w:cs="Arial"/>
          <w:szCs w:val="24"/>
        </w:rPr>
        <w:t xml:space="preserve">to </w:t>
      </w:r>
      <w:r w:rsidR="007667F0" w:rsidRPr="004A0E9A">
        <w:rPr>
          <w:rFonts w:ascii="Arial" w:hAnsi="Arial" w:cs="Arial"/>
          <w:szCs w:val="24"/>
        </w:rPr>
        <w:t xml:space="preserve">the wider </w:t>
      </w:r>
      <w:r w:rsidR="0006663B" w:rsidRPr="004A0E9A">
        <w:rPr>
          <w:rFonts w:ascii="Arial" w:hAnsi="Arial" w:cs="Arial"/>
          <w:szCs w:val="24"/>
        </w:rPr>
        <w:t>University staff community,</w:t>
      </w:r>
      <w:r w:rsidR="005A46A1" w:rsidRPr="004A0E9A">
        <w:rPr>
          <w:rFonts w:ascii="Arial" w:hAnsi="Arial" w:cs="Arial"/>
          <w:szCs w:val="24"/>
        </w:rPr>
        <w:t xml:space="preserve"> what the University’s ‘posture’ in relation to risk is, and to inform risk assessments and discussions.</w:t>
      </w:r>
      <w:r w:rsidR="00627170" w:rsidRPr="004A0E9A">
        <w:rPr>
          <w:rFonts w:ascii="Arial" w:hAnsi="Arial" w:cs="Arial"/>
          <w:szCs w:val="24"/>
        </w:rPr>
        <w:t xml:space="preserve"> </w:t>
      </w:r>
    </w:p>
    <w:p w14:paraId="12F90833" w14:textId="46F13744" w:rsidR="00D52739" w:rsidRPr="004A0E9A" w:rsidRDefault="00071E42" w:rsidP="004A0E9A">
      <w:pPr>
        <w:spacing w:after="160" w:line="259" w:lineRule="auto"/>
        <w:rPr>
          <w:rFonts w:ascii="Arial" w:hAnsi="Arial" w:cs="Arial"/>
          <w:szCs w:val="24"/>
        </w:rPr>
      </w:pPr>
      <w:r w:rsidRPr="004A0E9A">
        <w:rPr>
          <w:rFonts w:ascii="Arial" w:hAnsi="Arial" w:cs="Arial"/>
          <w:szCs w:val="24"/>
        </w:rPr>
        <w:t xml:space="preserve">The risk appetite statement </w:t>
      </w:r>
      <w:r w:rsidR="004928C4" w:rsidRPr="004A0E9A">
        <w:rPr>
          <w:rFonts w:ascii="Arial" w:hAnsi="Arial" w:cs="Arial"/>
          <w:szCs w:val="24"/>
        </w:rPr>
        <w:t xml:space="preserve">is one key part of the University’s wider risk and assurance management framework. It gives an overarching picture of the University’s </w:t>
      </w:r>
      <w:r w:rsidR="00262207" w:rsidRPr="004A0E9A">
        <w:rPr>
          <w:rFonts w:ascii="Arial" w:hAnsi="Arial" w:cs="Arial"/>
          <w:szCs w:val="24"/>
        </w:rPr>
        <w:t>posture in relation to risk-taking</w:t>
      </w:r>
      <w:r w:rsidR="00406A99" w:rsidRPr="004A0E9A">
        <w:rPr>
          <w:rFonts w:ascii="Arial" w:hAnsi="Arial" w:cs="Arial"/>
          <w:szCs w:val="24"/>
        </w:rPr>
        <w:t xml:space="preserve">, and provides a big-picture sense of </w:t>
      </w:r>
      <w:r w:rsidR="00394494" w:rsidRPr="004A0E9A">
        <w:rPr>
          <w:rFonts w:ascii="Arial" w:hAnsi="Arial" w:cs="Arial"/>
          <w:szCs w:val="24"/>
        </w:rPr>
        <w:t>our</w:t>
      </w:r>
      <w:r w:rsidR="00313B98" w:rsidRPr="004A0E9A">
        <w:rPr>
          <w:rFonts w:ascii="Arial" w:hAnsi="Arial" w:cs="Arial"/>
          <w:szCs w:val="24"/>
        </w:rPr>
        <w:t xml:space="preserve"> willingness to take risk </w:t>
      </w:r>
      <w:r w:rsidR="00406A99" w:rsidRPr="004A0E9A">
        <w:rPr>
          <w:rFonts w:ascii="Arial" w:hAnsi="Arial" w:cs="Arial"/>
          <w:szCs w:val="24"/>
        </w:rPr>
        <w:t>in key strategic areas. Risk appetite is one aspect of a larger decision-making framework which includes consideration of alignment with strategy and underlying values</w:t>
      </w:r>
      <w:r w:rsidR="00627170" w:rsidRPr="004A0E9A">
        <w:rPr>
          <w:rFonts w:ascii="Arial" w:hAnsi="Arial" w:cs="Arial"/>
          <w:szCs w:val="24"/>
        </w:rPr>
        <w:t>. It is important to recognise that a risk appetite statement is intended t</w:t>
      </w:r>
      <w:r w:rsidR="00D607FC" w:rsidRPr="004A0E9A">
        <w:rPr>
          <w:rFonts w:ascii="Arial" w:hAnsi="Arial" w:cs="Arial"/>
          <w:szCs w:val="24"/>
        </w:rPr>
        <w:t xml:space="preserve">o aid the University and individuals in </w:t>
      </w:r>
      <w:r w:rsidR="00090ADF" w:rsidRPr="004A0E9A">
        <w:rPr>
          <w:rFonts w:ascii="Arial" w:hAnsi="Arial" w:cs="Arial"/>
          <w:szCs w:val="24"/>
        </w:rPr>
        <w:t>our wider risk management and assessment</w:t>
      </w:r>
      <w:r w:rsidR="00D52739" w:rsidRPr="004A0E9A">
        <w:rPr>
          <w:rFonts w:ascii="Arial" w:hAnsi="Arial" w:cs="Arial"/>
          <w:szCs w:val="24"/>
        </w:rPr>
        <w:t xml:space="preserve">, and should </w:t>
      </w:r>
      <w:r w:rsidR="00313B98" w:rsidRPr="004A0E9A">
        <w:rPr>
          <w:rFonts w:ascii="Arial" w:hAnsi="Arial" w:cs="Arial"/>
          <w:szCs w:val="24"/>
        </w:rPr>
        <w:t>not</w:t>
      </w:r>
      <w:r w:rsidR="00D52739" w:rsidRPr="004A0E9A">
        <w:rPr>
          <w:rFonts w:ascii="Arial" w:hAnsi="Arial" w:cs="Arial"/>
          <w:szCs w:val="24"/>
        </w:rPr>
        <w:t xml:space="preserve"> been seen as a barrier to risk</w:t>
      </w:r>
      <w:r w:rsidR="00313B98" w:rsidRPr="004A0E9A">
        <w:rPr>
          <w:rFonts w:ascii="Arial" w:hAnsi="Arial" w:cs="Arial"/>
          <w:szCs w:val="24"/>
        </w:rPr>
        <w:t>-</w:t>
      </w:r>
      <w:r w:rsidR="00D52739" w:rsidRPr="004A0E9A">
        <w:rPr>
          <w:rFonts w:ascii="Arial" w:hAnsi="Arial" w:cs="Arial"/>
          <w:szCs w:val="24"/>
        </w:rPr>
        <w:t>taking</w:t>
      </w:r>
      <w:r w:rsidR="00090ADF" w:rsidRPr="004A0E9A">
        <w:rPr>
          <w:rFonts w:ascii="Arial" w:hAnsi="Arial" w:cs="Arial"/>
          <w:szCs w:val="24"/>
        </w:rPr>
        <w:t xml:space="preserve"> in and of itself</w:t>
      </w:r>
      <w:r w:rsidR="00D52739" w:rsidRPr="004A0E9A">
        <w:rPr>
          <w:rFonts w:ascii="Arial" w:hAnsi="Arial" w:cs="Arial"/>
          <w:szCs w:val="24"/>
        </w:rPr>
        <w:t xml:space="preserve">. </w:t>
      </w:r>
      <w:r w:rsidR="003241E0" w:rsidRPr="004A0E9A">
        <w:rPr>
          <w:rFonts w:ascii="Arial" w:hAnsi="Arial" w:cs="Arial"/>
          <w:szCs w:val="24"/>
        </w:rPr>
        <w:t>Opportunities for growth and innovation will often</w:t>
      </w:r>
      <w:r w:rsidR="00DF5E88" w:rsidRPr="004A0E9A">
        <w:rPr>
          <w:rFonts w:ascii="Arial" w:hAnsi="Arial" w:cs="Arial"/>
          <w:szCs w:val="24"/>
        </w:rPr>
        <w:t xml:space="preserve"> necessarily</w:t>
      </w:r>
      <w:r w:rsidR="003241E0" w:rsidRPr="004A0E9A">
        <w:rPr>
          <w:rFonts w:ascii="Arial" w:hAnsi="Arial" w:cs="Arial"/>
          <w:szCs w:val="24"/>
        </w:rPr>
        <w:t xml:space="preserve"> carry a degree of risk, and </w:t>
      </w:r>
      <w:r w:rsidR="00090ADF" w:rsidRPr="004A0E9A">
        <w:rPr>
          <w:rFonts w:ascii="Arial" w:hAnsi="Arial" w:cs="Arial"/>
          <w:szCs w:val="24"/>
        </w:rPr>
        <w:t xml:space="preserve">the </w:t>
      </w:r>
      <w:r w:rsidR="003241E0" w:rsidRPr="004A0E9A">
        <w:rPr>
          <w:rFonts w:ascii="Arial" w:hAnsi="Arial" w:cs="Arial"/>
          <w:szCs w:val="24"/>
        </w:rPr>
        <w:t>appetite</w:t>
      </w:r>
      <w:r w:rsidR="00090ADF" w:rsidRPr="004A0E9A">
        <w:rPr>
          <w:rFonts w:ascii="Arial" w:hAnsi="Arial" w:cs="Arial"/>
          <w:szCs w:val="24"/>
        </w:rPr>
        <w:t xml:space="preserve"> statement</w:t>
      </w:r>
      <w:r w:rsidR="003241E0" w:rsidRPr="004A0E9A">
        <w:rPr>
          <w:rFonts w:ascii="Arial" w:hAnsi="Arial" w:cs="Arial"/>
          <w:szCs w:val="24"/>
        </w:rPr>
        <w:t xml:space="preserve"> </w:t>
      </w:r>
      <w:r w:rsidR="00744287" w:rsidRPr="004A0E9A">
        <w:rPr>
          <w:rFonts w:ascii="Arial" w:hAnsi="Arial" w:cs="Arial"/>
          <w:szCs w:val="24"/>
        </w:rPr>
        <w:t>should not constrain such opportunities</w:t>
      </w:r>
      <w:r w:rsidR="00D46F89" w:rsidRPr="004A0E9A">
        <w:rPr>
          <w:rFonts w:ascii="Arial" w:hAnsi="Arial" w:cs="Arial"/>
          <w:szCs w:val="24"/>
        </w:rPr>
        <w:t xml:space="preserve">, but </w:t>
      </w:r>
      <w:r w:rsidR="00772E1B" w:rsidRPr="004A0E9A">
        <w:rPr>
          <w:rFonts w:ascii="Arial" w:hAnsi="Arial" w:cs="Arial"/>
          <w:szCs w:val="24"/>
        </w:rPr>
        <w:t>should help orient</w:t>
      </w:r>
      <w:r w:rsidR="00DF5E88" w:rsidRPr="004A0E9A">
        <w:rPr>
          <w:rFonts w:ascii="Arial" w:hAnsi="Arial" w:cs="Arial"/>
          <w:szCs w:val="24"/>
        </w:rPr>
        <w:t xml:space="preserve"> and inform</w:t>
      </w:r>
      <w:r w:rsidR="00772E1B" w:rsidRPr="004A0E9A">
        <w:rPr>
          <w:rFonts w:ascii="Arial" w:hAnsi="Arial" w:cs="Arial"/>
          <w:szCs w:val="24"/>
        </w:rPr>
        <w:t xml:space="preserve"> our discussions of risk</w:t>
      </w:r>
      <w:r w:rsidR="00090ADF" w:rsidRPr="004A0E9A">
        <w:rPr>
          <w:rFonts w:ascii="Arial" w:hAnsi="Arial" w:cs="Arial"/>
          <w:szCs w:val="24"/>
        </w:rPr>
        <w:t>.</w:t>
      </w:r>
    </w:p>
    <w:p w14:paraId="6C5FE343" w14:textId="3AD6BC85" w:rsidR="004928C4" w:rsidRPr="004A0E9A" w:rsidRDefault="004928C4" w:rsidP="004A0E9A">
      <w:pPr>
        <w:spacing w:after="160" w:line="259" w:lineRule="auto"/>
        <w:rPr>
          <w:rFonts w:ascii="Arial" w:hAnsi="Arial" w:cs="Arial"/>
          <w:szCs w:val="24"/>
        </w:rPr>
      </w:pPr>
    </w:p>
    <w:p w14:paraId="14B2F247" w14:textId="66FC0742" w:rsidR="00071E42" w:rsidRPr="004A0E9A" w:rsidRDefault="00071E42" w:rsidP="004A0E9A">
      <w:pPr>
        <w:spacing w:after="160" w:line="259" w:lineRule="auto"/>
        <w:rPr>
          <w:rFonts w:ascii="Arial" w:hAnsi="Arial" w:cs="Arial"/>
          <w:szCs w:val="24"/>
        </w:rPr>
      </w:pPr>
      <w:r w:rsidRPr="004A0E9A">
        <w:rPr>
          <w:rFonts w:ascii="Arial" w:hAnsi="Arial" w:cs="Arial"/>
          <w:szCs w:val="24"/>
        </w:rPr>
        <w:lastRenderedPageBreak/>
        <w:t xml:space="preserve">It is expected that there will be times where decisions will be taken on proposals and initiatives whose risk profiles sit to some degree outside the risk appetite statement. Risk acceptance processes will be used to document and agree those decisions including any additional oversight and mitigation. </w:t>
      </w:r>
    </w:p>
    <w:p w14:paraId="2246EE91" w14:textId="77777777" w:rsidR="00071E42" w:rsidRPr="005022C7" w:rsidRDefault="00071E42" w:rsidP="005022C7">
      <w:pPr>
        <w:spacing w:line="288" w:lineRule="exact"/>
        <w:rPr>
          <w:rFonts w:ascii="Arial" w:hAnsi="Arial" w:cs="Arial"/>
          <w:sz w:val="20"/>
          <w:szCs w:val="20"/>
        </w:rPr>
      </w:pPr>
    </w:p>
    <w:p w14:paraId="6F201034" w14:textId="77777777" w:rsidR="005022C7" w:rsidRPr="005022C7" w:rsidRDefault="005022C7" w:rsidP="00CB06B0">
      <w:pPr>
        <w:spacing w:line="288" w:lineRule="exact"/>
        <w:rPr>
          <w:rFonts w:ascii="Arial" w:hAnsi="Arial" w:cs="Arial"/>
          <w:sz w:val="20"/>
          <w:szCs w:val="20"/>
        </w:rPr>
      </w:pPr>
    </w:p>
    <w:p w14:paraId="3C1A8284" w14:textId="77777777" w:rsidR="005022C7" w:rsidRPr="006A5DDE" w:rsidRDefault="005022C7" w:rsidP="005022C7">
      <w:pPr>
        <w:rPr>
          <w:rFonts w:ascii="Arial" w:hAnsi="Arial" w:cs="Arial"/>
          <w:b/>
          <w:szCs w:val="24"/>
        </w:rPr>
      </w:pPr>
      <w:r w:rsidRPr="005022C7">
        <w:rPr>
          <w:rFonts w:ascii="Arial" w:hAnsi="Arial" w:cs="Arial"/>
          <w:b/>
          <w:sz w:val="20"/>
          <w:szCs w:val="20"/>
        </w:rPr>
        <w:br w:type="page"/>
      </w:r>
    </w:p>
    <w:p w14:paraId="600DE3E2" w14:textId="77777777" w:rsidR="005022C7" w:rsidRPr="006A5DDE" w:rsidRDefault="005022C7" w:rsidP="005022C7">
      <w:pPr>
        <w:spacing w:line="288" w:lineRule="exact"/>
        <w:rPr>
          <w:rFonts w:ascii="Arial" w:hAnsi="Arial" w:cs="Arial"/>
          <w:b/>
          <w:szCs w:val="24"/>
        </w:rPr>
      </w:pPr>
      <w:r w:rsidRPr="006A5DDE">
        <w:rPr>
          <w:rFonts w:ascii="Arial" w:hAnsi="Arial" w:cs="Arial"/>
          <w:b/>
          <w:szCs w:val="24"/>
        </w:rPr>
        <w:lastRenderedPageBreak/>
        <w:t>2</w:t>
      </w:r>
      <w:r w:rsidRPr="006A5DDE">
        <w:rPr>
          <w:rFonts w:ascii="Arial" w:hAnsi="Arial" w:cs="Arial"/>
          <w:b/>
          <w:szCs w:val="24"/>
        </w:rPr>
        <w:tab/>
        <w:t>Risk appetite by domain of activity</w:t>
      </w:r>
    </w:p>
    <w:p w14:paraId="55330D62" w14:textId="77777777" w:rsidR="00F018DD" w:rsidRPr="006A5DDE" w:rsidRDefault="00F018DD" w:rsidP="005022C7">
      <w:pPr>
        <w:spacing w:line="288" w:lineRule="exact"/>
        <w:rPr>
          <w:rFonts w:ascii="Arial" w:hAnsi="Arial" w:cs="Arial"/>
          <w:b/>
          <w:szCs w:val="24"/>
        </w:rPr>
      </w:pPr>
    </w:p>
    <w:tbl>
      <w:tblPr>
        <w:tblW w:w="5000" w:type="pct"/>
        <w:tblLook w:val="04A0" w:firstRow="1" w:lastRow="0" w:firstColumn="1" w:lastColumn="0" w:noHBand="0" w:noVBand="1"/>
      </w:tblPr>
      <w:tblGrid>
        <w:gridCol w:w="1804"/>
        <w:gridCol w:w="910"/>
        <w:gridCol w:w="821"/>
        <w:gridCol w:w="634"/>
        <w:gridCol w:w="670"/>
        <w:gridCol w:w="785"/>
        <w:gridCol w:w="497"/>
        <w:gridCol w:w="497"/>
        <w:gridCol w:w="670"/>
        <w:gridCol w:w="497"/>
        <w:gridCol w:w="497"/>
        <w:gridCol w:w="502"/>
        <w:gridCol w:w="222"/>
      </w:tblGrid>
      <w:tr w:rsidR="00904BC9" w:rsidRPr="006A5DDE" w14:paraId="73B25961" w14:textId="77777777" w:rsidTr="00F067AC">
        <w:trPr>
          <w:gridAfter w:val="1"/>
          <w:wAfter w:w="123" w:type="pct"/>
          <w:trHeight w:val="315"/>
        </w:trPr>
        <w:tc>
          <w:tcPr>
            <w:tcW w:w="4877" w:type="pct"/>
            <w:gridSpan w:val="12"/>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50113F" w14:textId="77777777" w:rsidR="00904BC9" w:rsidRPr="006A5DDE" w:rsidRDefault="00904BC9" w:rsidP="00F067AC">
            <w:pPr>
              <w:jc w:val="center"/>
              <w:rPr>
                <w:rFonts w:ascii="Arial" w:eastAsia="Times New Roman" w:hAnsi="Arial" w:cs="Arial"/>
                <w:b/>
                <w:bCs/>
                <w:color w:val="000000"/>
                <w:szCs w:val="24"/>
                <w:u w:val="single"/>
                <w:lang w:eastAsia="en-GB"/>
              </w:rPr>
            </w:pPr>
            <w:r w:rsidRPr="006A5DDE">
              <w:rPr>
                <w:rFonts w:ascii="Arial" w:eastAsia="Times New Roman" w:hAnsi="Arial" w:cs="Arial"/>
                <w:b/>
                <w:bCs/>
                <w:color w:val="000000"/>
                <w:szCs w:val="24"/>
                <w:u w:val="single"/>
                <w:lang w:eastAsia="en-GB"/>
              </w:rPr>
              <w:t>Risk Appetite by Domain of Activity</w:t>
            </w:r>
          </w:p>
        </w:tc>
      </w:tr>
      <w:tr w:rsidR="00904BC9" w:rsidRPr="006A5DDE" w14:paraId="5C14346F" w14:textId="77777777" w:rsidTr="00746D90">
        <w:trPr>
          <w:gridAfter w:val="1"/>
          <w:wAfter w:w="123" w:type="pct"/>
          <w:trHeight w:val="1230"/>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1C1BC09F" w14:textId="77777777" w:rsidR="00904BC9" w:rsidRPr="006A5DDE" w:rsidRDefault="00904BC9" w:rsidP="00F067AC">
            <w:pP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 </w:t>
            </w:r>
          </w:p>
        </w:tc>
        <w:tc>
          <w:tcPr>
            <w:tcW w:w="517" w:type="pct"/>
            <w:tcBorders>
              <w:top w:val="nil"/>
              <w:left w:val="nil"/>
              <w:bottom w:val="single" w:sz="8" w:space="0" w:color="000000"/>
              <w:right w:val="single" w:sz="8" w:space="0" w:color="000000"/>
            </w:tcBorders>
            <w:shd w:val="thinReverseDiagStripe" w:color="000000" w:fill="DDDDDD"/>
            <w:textDirection w:val="btLr"/>
            <w:vAlign w:val="center"/>
            <w:hideMark/>
          </w:tcPr>
          <w:p w14:paraId="6FB95A44"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Avoid</w:t>
            </w:r>
          </w:p>
        </w:tc>
        <w:tc>
          <w:tcPr>
            <w:tcW w:w="830" w:type="pct"/>
            <w:gridSpan w:val="2"/>
            <w:tcBorders>
              <w:top w:val="single" w:sz="8" w:space="0" w:color="000000"/>
              <w:left w:val="nil"/>
              <w:bottom w:val="single" w:sz="8" w:space="0" w:color="000000"/>
              <w:right w:val="single" w:sz="8" w:space="0" w:color="000000"/>
            </w:tcBorders>
            <w:shd w:val="clear" w:color="000000" w:fill="FF0000"/>
            <w:textDirection w:val="btLr"/>
            <w:vAlign w:val="center"/>
            <w:hideMark/>
          </w:tcPr>
          <w:p w14:paraId="34C8DFFC"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Averse</w:t>
            </w:r>
          </w:p>
        </w:tc>
        <w:tc>
          <w:tcPr>
            <w:tcW w:w="829" w:type="pct"/>
            <w:gridSpan w:val="2"/>
            <w:tcBorders>
              <w:top w:val="single" w:sz="8" w:space="0" w:color="000000"/>
              <w:left w:val="nil"/>
              <w:bottom w:val="single" w:sz="8" w:space="0" w:color="000000"/>
              <w:right w:val="single" w:sz="8" w:space="0" w:color="000000"/>
            </w:tcBorders>
            <w:shd w:val="clear" w:color="000000" w:fill="FFC000"/>
            <w:textDirection w:val="btLr"/>
            <w:vAlign w:val="center"/>
            <w:hideMark/>
          </w:tcPr>
          <w:p w14:paraId="19459500"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Cautious</w:t>
            </w:r>
          </w:p>
        </w:tc>
        <w:tc>
          <w:tcPr>
            <w:tcW w:w="574" w:type="pct"/>
            <w:gridSpan w:val="2"/>
            <w:tcBorders>
              <w:top w:val="single" w:sz="8" w:space="0" w:color="000000"/>
              <w:left w:val="nil"/>
              <w:bottom w:val="single" w:sz="8" w:space="0" w:color="000000"/>
              <w:right w:val="single" w:sz="8" w:space="0" w:color="000000"/>
            </w:tcBorders>
            <w:shd w:val="clear" w:color="000000" w:fill="FFFF00"/>
            <w:textDirection w:val="btLr"/>
            <w:vAlign w:val="center"/>
            <w:hideMark/>
          </w:tcPr>
          <w:p w14:paraId="1D71DB4C"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Moderate</w:t>
            </w:r>
          </w:p>
        </w:tc>
        <w:tc>
          <w:tcPr>
            <w:tcW w:w="670" w:type="pct"/>
            <w:gridSpan w:val="2"/>
            <w:tcBorders>
              <w:top w:val="single" w:sz="8" w:space="0" w:color="000000"/>
              <w:left w:val="nil"/>
              <w:bottom w:val="single" w:sz="8" w:space="0" w:color="000000"/>
              <w:right w:val="single" w:sz="8" w:space="0" w:color="000000"/>
            </w:tcBorders>
            <w:shd w:val="clear" w:color="000000" w:fill="00B050"/>
            <w:textDirection w:val="btLr"/>
            <w:vAlign w:val="center"/>
            <w:hideMark/>
          </w:tcPr>
          <w:p w14:paraId="33F6B239"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Open</w:t>
            </w:r>
          </w:p>
        </w:tc>
        <w:tc>
          <w:tcPr>
            <w:tcW w:w="577" w:type="pct"/>
            <w:gridSpan w:val="2"/>
            <w:tcBorders>
              <w:top w:val="single" w:sz="8" w:space="0" w:color="000000"/>
              <w:left w:val="nil"/>
              <w:bottom w:val="single" w:sz="8" w:space="0" w:color="000000"/>
              <w:right w:val="single" w:sz="8" w:space="0" w:color="000000"/>
            </w:tcBorders>
            <w:shd w:val="clear" w:color="000000" w:fill="5B9BD5"/>
            <w:textDirection w:val="btLr"/>
            <w:vAlign w:val="center"/>
            <w:hideMark/>
          </w:tcPr>
          <w:p w14:paraId="1A2016B7" w14:textId="77777777" w:rsidR="00904BC9" w:rsidRPr="006A5DDE" w:rsidRDefault="00904BC9" w:rsidP="00F067AC">
            <w:pPr>
              <w:jc w:val="cente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Hungry</w:t>
            </w:r>
          </w:p>
        </w:tc>
      </w:tr>
      <w:tr w:rsidR="00904BC9" w:rsidRPr="006A5DDE" w14:paraId="5F82C370" w14:textId="77777777" w:rsidTr="00746D90">
        <w:trPr>
          <w:gridAfter w:val="1"/>
          <w:wAfter w:w="123" w:type="pct"/>
          <w:trHeight w:val="458"/>
        </w:trPr>
        <w:tc>
          <w:tcPr>
            <w:tcW w:w="88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E2C6AE2" w14:textId="77777777" w:rsidR="00904BC9" w:rsidRPr="006A5DDE" w:rsidRDefault="00904BC9" w:rsidP="00F067AC">
            <w:pPr>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Domain</w:t>
            </w:r>
          </w:p>
        </w:tc>
        <w:tc>
          <w:tcPr>
            <w:tcW w:w="51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90D0A6F"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0</w:t>
            </w:r>
          </w:p>
        </w:tc>
        <w:tc>
          <w:tcPr>
            <w:tcW w:w="4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4563637"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1</w:t>
            </w:r>
          </w:p>
        </w:tc>
        <w:tc>
          <w:tcPr>
            <w:tcW w:w="36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6AB96A"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2</w:t>
            </w:r>
          </w:p>
        </w:tc>
        <w:tc>
          <w:tcPr>
            <w:tcW w:w="38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B5804C1"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3</w:t>
            </w:r>
          </w:p>
        </w:tc>
        <w:tc>
          <w:tcPr>
            <w:tcW w:w="44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ABB3383"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4</w:t>
            </w:r>
          </w:p>
        </w:tc>
        <w:tc>
          <w:tcPr>
            <w:tcW w:w="2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AB3E26F"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5</w:t>
            </w:r>
          </w:p>
        </w:tc>
        <w:tc>
          <w:tcPr>
            <w:tcW w:w="2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2029EDA"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6</w:t>
            </w:r>
          </w:p>
        </w:tc>
        <w:tc>
          <w:tcPr>
            <w:tcW w:w="38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9950BED"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7</w:t>
            </w:r>
          </w:p>
        </w:tc>
        <w:tc>
          <w:tcPr>
            <w:tcW w:w="2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5F77152"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8</w:t>
            </w:r>
          </w:p>
        </w:tc>
        <w:tc>
          <w:tcPr>
            <w:tcW w:w="2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0C311AF"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9</w:t>
            </w:r>
          </w:p>
        </w:tc>
        <w:tc>
          <w:tcPr>
            <w:tcW w:w="29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68A3792" w14:textId="77777777" w:rsidR="00904BC9" w:rsidRPr="006A5DDE" w:rsidRDefault="00904BC9" w:rsidP="00F067AC">
            <w:pPr>
              <w:jc w:val="right"/>
              <w:rPr>
                <w:rFonts w:ascii="Arial" w:eastAsia="Times New Roman" w:hAnsi="Arial" w:cs="Arial"/>
                <w:b/>
                <w:bCs/>
                <w:color w:val="000000"/>
                <w:szCs w:val="24"/>
                <w:lang w:eastAsia="en-GB"/>
              </w:rPr>
            </w:pPr>
            <w:r w:rsidRPr="006A5DDE">
              <w:rPr>
                <w:rFonts w:ascii="Arial" w:eastAsia="Times New Roman" w:hAnsi="Arial" w:cs="Arial"/>
                <w:b/>
                <w:bCs/>
                <w:color w:val="000000"/>
                <w:szCs w:val="24"/>
                <w:lang w:eastAsia="en-GB"/>
              </w:rPr>
              <w:t>10</w:t>
            </w:r>
          </w:p>
        </w:tc>
      </w:tr>
      <w:tr w:rsidR="00904BC9" w:rsidRPr="006A5DDE" w14:paraId="710AEDD1" w14:textId="77777777" w:rsidTr="00746D90">
        <w:trPr>
          <w:trHeight w:val="315"/>
        </w:trPr>
        <w:tc>
          <w:tcPr>
            <w:tcW w:w="880" w:type="pct"/>
            <w:vMerge/>
            <w:tcBorders>
              <w:top w:val="nil"/>
              <w:left w:val="single" w:sz="8" w:space="0" w:color="000000"/>
              <w:bottom w:val="single" w:sz="8" w:space="0" w:color="000000"/>
              <w:right w:val="single" w:sz="8" w:space="0" w:color="000000"/>
            </w:tcBorders>
            <w:vAlign w:val="center"/>
            <w:hideMark/>
          </w:tcPr>
          <w:p w14:paraId="36909301" w14:textId="77777777" w:rsidR="00904BC9" w:rsidRPr="006A5DDE" w:rsidRDefault="00904BC9" w:rsidP="00F067AC">
            <w:pPr>
              <w:rPr>
                <w:rFonts w:ascii="Arial" w:eastAsia="Times New Roman" w:hAnsi="Arial" w:cs="Arial"/>
                <w:b/>
                <w:bCs/>
                <w:color w:val="000000"/>
                <w:szCs w:val="24"/>
                <w:lang w:eastAsia="en-GB"/>
              </w:rPr>
            </w:pPr>
          </w:p>
        </w:tc>
        <w:tc>
          <w:tcPr>
            <w:tcW w:w="517" w:type="pct"/>
            <w:vMerge/>
            <w:tcBorders>
              <w:top w:val="nil"/>
              <w:left w:val="single" w:sz="8" w:space="0" w:color="000000"/>
              <w:bottom w:val="single" w:sz="8" w:space="0" w:color="000000"/>
              <w:right w:val="single" w:sz="8" w:space="0" w:color="000000"/>
            </w:tcBorders>
            <w:vAlign w:val="center"/>
            <w:hideMark/>
          </w:tcPr>
          <w:p w14:paraId="636455BE" w14:textId="77777777" w:rsidR="00904BC9" w:rsidRPr="006A5DDE" w:rsidRDefault="00904BC9" w:rsidP="00F067AC">
            <w:pPr>
              <w:rPr>
                <w:rFonts w:ascii="Arial" w:eastAsia="Times New Roman" w:hAnsi="Arial" w:cs="Arial"/>
                <w:b/>
                <w:bCs/>
                <w:color w:val="000000"/>
                <w:szCs w:val="24"/>
                <w:lang w:eastAsia="en-GB"/>
              </w:rPr>
            </w:pPr>
          </w:p>
        </w:tc>
        <w:tc>
          <w:tcPr>
            <w:tcW w:w="467" w:type="pct"/>
            <w:vMerge/>
            <w:tcBorders>
              <w:top w:val="nil"/>
              <w:left w:val="single" w:sz="8" w:space="0" w:color="000000"/>
              <w:bottom w:val="single" w:sz="8" w:space="0" w:color="000000"/>
              <w:right w:val="single" w:sz="8" w:space="0" w:color="000000"/>
            </w:tcBorders>
            <w:vAlign w:val="center"/>
            <w:hideMark/>
          </w:tcPr>
          <w:p w14:paraId="1B3A45B3" w14:textId="77777777" w:rsidR="00904BC9" w:rsidRPr="006A5DDE" w:rsidRDefault="00904BC9" w:rsidP="00F067AC">
            <w:pPr>
              <w:rPr>
                <w:rFonts w:ascii="Arial" w:eastAsia="Times New Roman" w:hAnsi="Arial" w:cs="Arial"/>
                <w:b/>
                <w:bCs/>
                <w:color w:val="000000"/>
                <w:szCs w:val="24"/>
                <w:lang w:eastAsia="en-GB"/>
              </w:rPr>
            </w:pPr>
          </w:p>
        </w:tc>
        <w:tc>
          <w:tcPr>
            <w:tcW w:w="363" w:type="pct"/>
            <w:vMerge/>
            <w:tcBorders>
              <w:top w:val="nil"/>
              <w:left w:val="single" w:sz="8" w:space="0" w:color="000000"/>
              <w:bottom w:val="single" w:sz="8" w:space="0" w:color="000000"/>
              <w:right w:val="single" w:sz="8" w:space="0" w:color="000000"/>
            </w:tcBorders>
            <w:vAlign w:val="center"/>
            <w:hideMark/>
          </w:tcPr>
          <w:p w14:paraId="2590982E" w14:textId="77777777" w:rsidR="00904BC9" w:rsidRPr="006A5DDE" w:rsidRDefault="00904BC9" w:rsidP="00F067AC">
            <w:pPr>
              <w:rPr>
                <w:rFonts w:ascii="Arial" w:eastAsia="Times New Roman" w:hAnsi="Arial" w:cs="Arial"/>
                <w:b/>
                <w:bCs/>
                <w:color w:val="000000"/>
                <w:szCs w:val="24"/>
                <w:lang w:eastAsia="en-GB"/>
              </w:rPr>
            </w:pPr>
          </w:p>
        </w:tc>
        <w:tc>
          <w:tcPr>
            <w:tcW w:w="383" w:type="pct"/>
            <w:vMerge/>
            <w:tcBorders>
              <w:top w:val="nil"/>
              <w:left w:val="single" w:sz="8" w:space="0" w:color="000000"/>
              <w:bottom w:val="single" w:sz="8" w:space="0" w:color="000000"/>
              <w:right w:val="single" w:sz="8" w:space="0" w:color="000000"/>
            </w:tcBorders>
            <w:vAlign w:val="center"/>
            <w:hideMark/>
          </w:tcPr>
          <w:p w14:paraId="372AE05F" w14:textId="77777777" w:rsidR="00904BC9" w:rsidRPr="006A5DDE" w:rsidRDefault="00904BC9" w:rsidP="00F067AC">
            <w:pPr>
              <w:rPr>
                <w:rFonts w:ascii="Arial" w:eastAsia="Times New Roman" w:hAnsi="Arial" w:cs="Arial"/>
                <w:b/>
                <w:bCs/>
                <w:color w:val="000000"/>
                <w:szCs w:val="24"/>
                <w:lang w:eastAsia="en-GB"/>
              </w:rPr>
            </w:pPr>
          </w:p>
        </w:tc>
        <w:tc>
          <w:tcPr>
            <w:tcW w:w="447" w:type="pct"/>
            <w:vMerge/>
            <w:tcBorders>
              <w:top w:val="nil"/>
              <w:left w:val="single" w:sz="8" w:space="0" w:color="000000"/>
              <w:bottom w:val="single" w:sz="8" w:space="0" w:color="000000"/>
              <w:right w:val="single" w:sz="8" w:space="0" w:color="000000"/>
            </w:tcBorders>
            <w:vAlign w:val="center"/>
            <w:hideMark/>
          </w:tcPr>
          <w:p w14:paraId="02EE772E" w14:textId="77777777" w:rsidR="00904BC9" w:rsidRPr="006A5DDE" w:rsidRDefault="00904BC9" w:rsidP="00F067AC">
            <w:pPr>
              <w:rPr>
                <w:rFonts w:ascii="Arial" w:eastAsia="Times New Roman" w:hAnsi="Arial" w:cs="Arial"/>
                <w:b/>
                <w:bCs/>
                <w:color w:val="000000"/>
                <w:szCs w:val="24"/>
                <w:lang w:eastAsia="en-GB"/>
              </w:rPr>
            </w:pPr>
          </w:p>
        </w:tc>
        <w:tc>
          <w:tcPr>
            <w:tcW w:w="287" w:type="pct"/>
            <w:vMerge/>
            <w:tcBorders>
              <w:top w:val="nil"/>
              <w:left w:val="single" w:sz="8" w:space="0" w:color="000000"/>
              <w:bottom w:val="single" w:sz="8" w:space="0" w:color="000000"/>
              <w:right w:val="single" w:sz="8" w:space="0" w:color="000000"/>
            </w:tcBorders>
            <w:vAlign w:val="center"/>
            <w:hideMark/>
          </w:tcPr>
          <w:p w14:paraId="115ECAF3" w14:textId="77777777" w:rsidR="00904BC9" w:rsidRPr="006A5DDE" w:rsidRDefault="00904BC9" w:rsidP="00F067AC">
            <w:pPr>
              <w:rPr>
                <w:rFonts w:ascii="Arial" w:eastAsia="Times New Roman" w:hAnsi="Arial" w:cs="Arial"/>
                <w:b/>
                <w:bCs/>
                <w:color w:val="000000"/>
                <w:szCs w:val="24"/>
                <w:lang w:eastAsia="en-GB"/>
              </w:rPr>
            </w:pPr>
          </w:p>
        </w:tc>
        <w:tc>
          <w:tcPr>
            <w:tcW w:w="287" w:type="pct"/>
            <w:vMerge/>
            <w:tcBorders>
              <w:top w:val="nil"/>
              <w:left w:val="single" w:sz="8" w:space="0" w:color="000000"/>
              <w:bottom w:val="single" w:sz="8" w:space="0" w:color="000000"/>
              <w:right w:val="single" w:sz="8" w:space="0" w:color="000000"/>
            </w:tcBorders>
            <w:vAlign w:val="center"/>
            <w:hideMark/>
          </w:tcPr>
          <w:p w14:paraId="7C9C7856" w14:textId="77777777" w:rsidR="00904BC9" w:rsidRPr="006A5DDE" w:rsidRDefault="00904BC9" w:rsidP="00F067AC">
            <w:pPr>
              <w:rPr>
                <w:rFonts w:ascii="Arial" w:eastAsia="Times New Roman" w:hAnsi="Arial" w:cs="Arial"/>
                <w:b/>
                <w:bCs/>
                <w:color w:val="000000"/>
                <w:szCs w:val="24"/>
                <w:lang w:eastAsia="en-GB"/>
              </w:rPr>
            </w:pPr>
          </w:p>
        </w:tc>
        <w:tc>
          <w:tcPr>
            <w:tcW w:w="383" w:type="pct"/>
            <w:vMerge/>
            <w:tcBorders>
              <w:top w:val="nil"/>
              <w:left w:val="single" w:sz="8" w:space="0" w:color="000000"/>
              <w:bottom w:val="single" w:sz="8" w:space="0" w:color="000000"/>
              <w:right w:val="single" w:sz="8" w:space="0" w:color="000000"/>
            </w:tcBorders>
            <w:vAlign w:val="center"/>
            <w:hideMark/>
          </w:tcPr>
          <w:p w14:paraId="19C16498" w14:textId="77777777" w:rsidR="00904BC9" w:rsidRPr="006A5DDE" w:rsidRDefault="00904BC9" w:rsidP="00F067AC">
            <w:pPr>
              <w:rPr>
                <w:rFonts w:ascii="Arial" w:eastAsia="Times New Roman" w:hAnsi="Arial" w:cs="Arial"/>
                <w:b/>
                <w:bCs/>
                <w:color w:val="000000"/>
                <w:szCs w:val="24"/>
                <w:lang w:eastAsia="en-GB"/>
              </w:rPr>
            </w:pPr>
          </w:p>
        </w:tc>
        <w:tc>
          <w:tcPr>
            <w:tcW w:w="287" w:type="pct"/>
            <w:vMerge/>
            <w:tcBorders>
              <w:top w:val="nil"/>
              <w:left w:val="single" w:sz="8" w:space="0" w:color="000000"/>
              <w:bottom w:val="single" w:sz="8" w:space="0" w:color="000000"/>
              <w:right w:val="single" w:sz="8" w:space="0" w:color="000000"/>
            </w:tcBorders>
            <w:vAlign w:val="center"/>
            <w:hideMark/>
          </w:tcPr>
          <w:p w14:paraId="2B3CDDAF" w14:textId="77777777" w:rsidR="00904BC9" w:rsidRPr="006A5DDE" w:rsidRDefault="00904BC9" w:rsidP="00F067AC">
            <w:pPr>
              <w:rPr>
                <w:rFonts w:ascii="Arial" w:eastAsia="Times New Roman" w:hAnsi="Arial" w:cs="Arial"/>
                <w:b/>
                <w:bCs/>
                <w:color w:val="000000"/>
                <w:szCs w:val="24"/>
                <w:lang w:eastAsia="en-GB"/>
              </w:rPr>
            </w:pPr>
          </w:p>
        </w:tc>
        <w:tc>
          <w:tcPr>
            <w:tcW w:w="287" w:type="pct"/>
            <w:vMerge/>
            <w:tcBorders>
              <w:top w:val="nil"/>
              <w:left w:val="single" w:sz="8" w:space="0" w:color="000000"/>
              <w:bottom w:val="single" w:sz="8" w:space="0" w:color="000000"/>
              <w:right w:val="single" w:sz="8" w:space="0" w:color="000000"/>
            </w:tcBorders>
            <w:vAlign w:val="center"/>
            <w:hideMark/>
          </w:tcPr>
          <w:p w14:paraId="59113A78" w14:textId="77777777" w:rsidR="00904BC9" w:rsidRPr="006A5DDE" w:rsidRDefault="00904BC9" w:rsidP="00F067AC">
            <w:pPr>
              <w:rPr>
                <w:rFonts w:ascii="Arial" w:eastAsia="Times New Roman" w:hAnsi="Arial" w:cs="Arial"/>
                <w:b/>
                <w:bCs/>
                <w:color w:val="000000"/>
                <w:szCs w:val="24"/>
                <w:lang w:eastAsia="en-GB"/>
              </w:rPr>
            </w:pPr>
          </w:p>
        </w:tc>
        <w:tc>
          <w:tcPr>
            <w:tcW w:w="290" w:type="pct"/>
            <w:vMerge/>
            <w:tcBorders>
              <w:top w:val="nil"/>
              <w:left w:val="single" w:sz="8" w:space="0" w:color="000000"/>
              <w:bottom w:val="single" w:sz="8" w:space="0" w:color="000000"/>
              <w:right w:val="single" w:sz="8" w:space="0" w:color="000000"/>
            </w:tcBorders>
            <w:vAlign w:val="center"/>
            <w:hideMark/>
          </w:tcPr>
          <w:p w14:paraId="04FCFAC5" w14:textId="77777777" w:rsidR="00904BC9" w:rsidRPr="006A5DDE" w:rsidRDefault="00904BC9" w:rsidP="00F067AC">
            <w:pPr>
              <w:rPr>
                <w:rFonts w:ascii="Arial" w:eastAsia="Times New Roman" w:hAnsi="Arial" w:cs="Arial"/>
                <w:b/>
                <w:bCs/>
                <w:color w:val="000000"/>
                <w:szCs w:val="24"/>
                <w:lang w:eastAsia="en-GB"/>
              </w:rPr>
            </w:pPr>
          </w:p>
        </w:tc>
        <w:tc>
          <w:tcPr>
            <w:tcW w:w="123" w:type="pct"/>
            <w:tcBorders>
              <w:top w:val="nil"/>
              <w:left w:val="nil"/>
              <w:bottom w:val="nil"/>
              <w:right w:val="nil"/>
            </w:tcBorders>
            <w:shd w:val="clear" w:color="auto" w:fill="auto"/>
            <w:noWrap/>
            <w:vAlign w:val="bottom"/>
            <w:hideMark/>
          </w:tcPr>
          <w:p w14:paraId="782CFDA0" w14:textId="77777777" w:rsidR="00904BC9" w:rsidRPr="006A5DDE" w:rsidRDefault="00904BC9" w:rsidP="00F067AC">
            <w:pPr>
              <w:jc w:val="right"/>
              <w:rPr>
                <w:rFonts w:ascii="Arial" w:eastAsia="Times New Roman" w:hAnsi="Arial" w:cs="Arial"/>
                <w:b/>
                <w:bCs/>
                <w:color w:val="000000"/>
                <w:szCs w:val="24"/>
                <w:lang w:eastAsia="en-GB"/>
              </w:rPr>
            </w:pPr>
          </w:p>
        </w:tc>
      </w:tr>
      <w:tr w:rsidR="00904BC9" w:rsidRPr="006A5DDE" w14:paraId="1A52F5A7" w14:textId="77777777" w:rsidTr="00746D90">
        <w:trPr>
          <w:trHeight w:val="31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4B524D28"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Recruitment</w:t>
            </w:r>
          </w:p>
        </w:tc>
        <w:tc>
          <w:tcPr>
            <w:tcW w:w="517" w:type="pct"/>
            <w:tcBorders>
              <w:top w:val="nil"/>
              <w:left w:val="nil"/>
              <w:bottom w:val="single" w:sz="8" w:space="0" w:color="000000"/>
              <w:right w:val="single" w:sz="8" w:space="0" w:color="000000"/>
            </w:tcBorders>
            <w:shd w:val="clear" w:color="000000" w:fill="FFFFFF"/>
            <w:vAlign w:val="center"/>
            <w:hideMark/>
          </w:tcPr>
          <w:p w14:paraId="2F66D67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000000" w:fill="FFFFFF"/>
            <w:vAlign w:val="center"/>
            <w:hideMark/>
          </w:tcPr>
          <w:p w14:paraId="173E726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000000" w:fill="FFFFFF"/>
            <w:vAlign w:val="center"/>
            <w:hideMark/>
          </w:tcPr>
          <w:p w14:paraId="51B7340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7C53D83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auto" w:fill="auto"/>
            <w:vAlign w:val="center"/>
            <w:hideMark/>
          </w:tcPr>
          <w:p w14:paraId="379BAB5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6A0953A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02DB94E7" w14:textId="77777777" w:rsidR="00904BC9" w:rsidRPr="006A5DDE" w:rsidRDefault="00904BC9" w:rsidP="00F067AC">
            <w:pPr>
              <w:rPr>
                <w:rFonts w:ascii="Arial" w:eastAsia="Times New Roman" w:hAnsi="Arial" w:cs="Arial"/>
                <w:color w:val="EEECE1"/>
                <w:szCs w:val="24"/>
                <w:lang w:eastAsia="en-GB"/>
              </w:rPr>
            </w:pPr>
            <w:r w:rsidRPr="006A5DDE">
              <w:rPr>
                <w:rFonts w:ascii="Arial" w:eastAsia="Times New Roman" w:hAnsi="Arial" w:cs="Arial"/>
                <w:color w:val="EEECE1"/>
                <w:szCs w:val="24"/>
                <w:lang w:eastAsia="en-GB"/>
              </w:rPr>
              <w:t> </w:t>
            </w:r>
          </w:p>
        </w:tc>
        <w:tc>
          <w:tcPr>
            <w:tcW w:w="383" w:type="pct"/>
            <w:tcBorders>
              <w:top w:val="nil"/>
              <w:left w:val="nil"/>
              <w:bottom w:val="single" w:sz="8" w:space="0" w:color="000000"/>
              <w:right w:val="single" w:sz="8" w:space="0" w:color="000000"/>
            </w:tcBorders>
            <w:shd w:val="clear" w:color="000000" w:fill="00B050"/>
            <w:vAlign w:val="center"/>
            <w:hideMark/>
          </w:tcPr>
          <w:p w14:paraId="3CEC03D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455CF3A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19FB36C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5570B76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6039893E" w14:textId="77777777" w:rsidR="00904BC9" w:rsidRPr="006A5DDE" w:rsidRDefault="00904BC9" w:rsidP="00F067AC">
            <w:pPr>
              <w:rPr>
                <w:rFonts w:ascii="Arial" w:eastAsia="Times New Roman" w:hAnsi="Arial" w:cs="Arial"/>
                <w:szCs w:val="24"/>
                <w:lang w:eastAsia="en-GB"/>
              </w:rPr>
            </w:pPr>
          </w:p>
        </w:tc>
      </w:tr>
      <w:tr w:rsidR="00904BC9" w:rsidRPr="006A5DDE" w14:paraId="72AA6D46" w14:textId="77777777" w:rsidTr="009761DE">
        <w:trPr>
          <w:trHeight w:val="31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7BA6D13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Reputation</w:t>
            </w:r>
          </w:p>
        </w:tc>
        <w:tc>
          <w:tcPr>
            <w:tcW w:w="517" w:type="pct"/>
            <w:tcBorders>
              <w:top w:val="nil"/>
              <w:left w:val="nil"/>
              <w:bottom w:val="single" w:sz="8" w:space="0" w:color="000000"/>
              <w:right w:val="single" w:sz="8" w:space="0" w:color="000000"/>
            </w:tcBorders>
            <w:shd w:val="clear" w:color="000000" w:fill="FFFFFF"/>
            <w:vAlign w:val="center"/>
            <w:hideMark/>
          </w:tcPr>
          <w:p w14:paraId="49B645F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70A6D3B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4B16170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FFC000"/>
            <w:vAlign w:val="center"/>
            <w:hideMark/>
          </w:tcPr>
          <w:p w14:paraId="297D92A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auto" w:fill="auto"/>
            <w:vAlign w:val="center"/>
            <w:hideMark/>
          </w:tcPr>
          <w:p w14:paraId="516FCBD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48ECA3C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395479A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78CC3D3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4E54FAE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2D2AA2C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57B34F8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14FE164E" w14:textId="77777777" w:rsidR="00904BC9" w:rsidRPr="006A5DDE" w:rsidRDefault="00904BC9" w:rsidP="00F067AC">
            <w:pPr>
              <w:rPr>
                <w:rFonts w:ascii="Arial" w:eastAsia="Times New Roman" w:hAnsi="Arial" w:cs="Arial"/>
                <w:szCs w:val="24"/>
                <w:lang w:eastAsia="en-GB"/>
              </w:rPr>
            </w:pPr>
          </w:p>
        </w:tc>
      </w:tr>
      <w:tr w:rsidR="00904BC9" w:rsidRPr="006A5DDE" w14:paraId="336E6E91" w14:textId="77777777" w:rsidTr="009761DE">
        <w:trPr>
          <w:trHeight w:val="31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0F2F067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Compliance</w:t>
            </w:r>
          </w:p>
        </w:tc>
        <w:tc>
          <w:tcPr>
            <w:tcW w:w="517" w:type="pct"/>
            <w:tcBorders>
              <w:top w:val="nil"/>
              <w:left w:val="nil"/>
              <w:bottom w:val="single" w:sz="8" w:space="0" w:color="000000"/>
              <w:right w:val="single" w:sz="8" w:space="0" w:color="000000"/>
            </w:tcBorders>
            <w:shd w:val="clear" w:color="000000" w:fill="FFFFFF"/>
            <w:vAlign w:val="center"/>
            <w:hideMark/>
          </w:tcPr>
          <w:p w14:paraId="1A17328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06FA738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512FFAD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FFC000"/>
            <w:vAlign w:val="center"/>
            <w:hideMark/>
          </w:tcPr>
          <w:p w14:paraId="38B78F75"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auto" w:fill="auto"/>
            <w:vAlign w:val="center"/>
            <w:hideMark/>
          </w:tcPr>
          <w:p w14:paraId="7507448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32DDFF9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09A3DF9D"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6EC638A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4577C4A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1EC0ACE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60B649D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4C3BF68D" w14:textId="77777777" w:rsidR="00904BC9" w:rsidRPr="006A5DDE" w:rsidRDefault="00904BC9" w:rsidP="00F067AC">
            <w:pPr>
              <w:rPr>
                <w:rFonts w:ascii="Arial" w:eastAsia="Times New Roman" w:hAnsi="Arial" w:cs="Arial"/>
                <w:szCs w:val="24"/>
                <w:lang w:eastAsia="en-GB"/>
              </w:rPr>
            </w:pPr>
          </w:p>
        </w:tc>
      </w:tr>
      <w:tr w:rsidR="00904BC9" w:rsidRPr="006A5DDE" w14:paraId="3D3AE2B7" w14:textId="77777777" w:rsidTr="009761DE">
        <w:trPr>
          <w:trHeight w:val="97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2E94875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Government Policy/External Environment</w:t>
            </w:r>
          </w:p>
        </w:tc>
        <w:tc>
          <w:tcPr>
            <w:tcW w:w="517" w:type="pct"/>
            <w:tcBorders>
              <w:top w:val="nil"/>
              <w:left w:val="nil"/>
              <w:bottom w:val="single" w:sz="8" w:space="0" w:color="000000"/>
              <w:right w:val="single" w:sz="8" w:space="0" w:color="000000"/>
            </w:tcBorders>
            <w:shd w:val="clear" w:color="auto" w:fill="auto"/>
            <w:vAlign w:val="center"/>
            <w:hideMark/>
          </w:tcPr>
          <w:p w14:paraId="131A010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67A7631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1B91E7A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FFC000"/>
            <w:vAlign w:val="center"/>
            <w:hideMark/>
          </w:tcPr>
          <w:p w14:paraId="47712AF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5B8A272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5E0C48A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184BE77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32FB8DE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780CB2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22FECCB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24008D2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4434EB7D" w14:textId="77777777" w:rsidR="00904BC9" w:rsidRPr="006A5DDE" w:rsidRDefault="00904BC9" w:rsidP="00F067AC">
            <w:pPr>
              <w:rPr>
                <w:rFonts w:ascii="Arial" w:eastAsia="Times New Roman" w:hAnsi="Arial" w:cs="Arial"/>
                <w:szCs w:val="24"/>
                <w:lang w:eastAsia="en-GB"/>
              </w:rPr>
            </w:pPr>
          </w:p>
        </w:tc>
      </w:tr>
      <w:tr w:rsidR="00904BC9" w:rsidRPr="006A5DDE" w14:paraId="231E2958" w14:textId="77777777" w:rsidTr="009761DE">
        <w:trPr>
          <w:trHeight w:val="31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17186B3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Financial</w:t>
            </w:r>
          </w:p>
        </w:tc>
        <w:tc>
          <w:tcPr>
            <w:tcW w:w="517" w:type="pct"/>
            <w:tcBorders>
              <w:top w:val="nil"/>
              <w:left w:val="nil"/>
              <w:bottom w:val="single" w:sz="8" w:space="0" w:color="000000"/>
              <w:right w:val="single" w:sz="8" w:space="0" w:color="000000"/>
            </w:tcBorders>
            <w:shd w:val="clear" w:color="000000" w:fill="FFFFFF"/>
            <w:vAlign w:val="center"/>
            <w:hideMark/>
          </w:tcPr>
          <w:p w14:paraId="1ED4C8B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000000" w:fill="FFFFFF"/>
            <w:vAlign w:val="center"/>
            <w:hideMark/>
          </w:tcPr>
          <w:p w14:paraId="6424B16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000000" w:fill="FFFFFF"/>
            <w:vAlign w:val="center"/>
            <w:hideMark/>
          </w:tcPr>
          <w:p w14:paraId="6EB69A9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6E55EC25"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71513E5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FFFF00"/>
            <w:vAlign w:val="center"/>
            <w:hideMark/>
          </w:tcPr>
          <w:p w14:paraId="54D1E6B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138D33E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2B0DFA7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524D97B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05C333E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2CAC1E7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621A3989" w14:textId="77777777" w:rsidR="00904BC9" w:rsidRPr="006A5DDE" w:rsidRDefault="00904BC9" w:rsidP="00F067AC">
            <w:pPr>
              <w:rPr>
                <w:rFonts w:ascii="Arial" w:eastAsia="Times New Roman" w:hAnsi="Arial" w:cs="Arial"/>
                <w:szCs w:val="24"/>
                <w:lang w:eastAsia="en-GB"/>
              </w:rPr>
            </w:pPr>
          </w:p>
        </w:tc>
      </w:tr>
      <w:tr w:rsidR="00904BC9" w:rsidRPr="006A5DDE" w14:paraId="3B9B928C" w14:textId="77777777" w:rsidTr="00746D90">
        <w:trPr>
          <w:trHeight w:val="73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5724D00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Education and Student Experience</w:t>
            </w:r>
          </w:p>
        </w:tc>
        <w:tc>
          <w:tcPr>
            <w:tcW w:w="517" w:type="pct"/>
            <w:tcBorders>
              <w:top w:val="nil"/>
              <w:left w:val="nil"/>
              <w:bottom w:val="single" w:sz="8" w:space="0" w:color="000000"/>
              <w:right w:val="single" w:sz="8" w:space="0" w:color="000000"/>
            </w:tcBorders>
            <w:shd w:val="clear" w:color="auto" w:fill="auto"/>
            <w:vAlign w:val="center"/>
            <w:hideMark/>
          </w:tcPr>
          <w:p w14:paraId="3A4CE20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3287DF5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218FDA4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26B6CA0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4D71A418"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auto"/>
            <w:vAlign w:val="center"/>
            <w:hideMark/>
          </w:tcPr>
          <w:p w14:paraId="1BB10AF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1FF05FD"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00B050"/>
            <w:vAlign w:val="center"/>
            <w:hideMark/>
          </w:tcPr>
          <w:p w14:paraId="5F95ADB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0C35905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DEFD53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auto" w:fill="auto"/>
            <w:vAlign w:val="center"/>
            <w:hideMark/>
          </w:tcPr>
          <w:p w14:paraId="74D376D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6F842565" w14:textId="77777777" w:rsidR="00904BC9" w:rsidRPr="006A5DDE" w:rsidRDefault="00904BC9" w:rsidP="00F067AC">
            <w:pPr>
              <w:rPr>
                <w:rFonts w:ascii="Arial" w:eastAsia="Times New Roman" w:hAnsi="Arial" w:cs="Arial"/>
                <w:szCs w:val="24"/>
                <w:lang w:eastAsia="en-GB"/>
              </w:rPr>
            </w:pPr>
          </w:p>
        </w:tc>
      </w:tr>
      <w:tr w:rsidR="00904BC9" w:rsidRPr="006A5DDE" w14:paraId="1DF3D596" w14:textId="77777777" w:rsidTr="009761DE">
        <w:trPr>
          <w:trHeight w:val="31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5A51CC4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Staff</w:t>
            </w:r>
          </w:p>
        </w:tc>
        <w:tc>
          <w:tcPr>
            <w:tcW w:w="517" w:type="pct"/>
            <w:tcBorders>
              <w:top w:val="nil"/>
              <w:left w:val="nil"/>
              <w:bottom w:val="single" w:sz="8" w:space="0" w:color="000000"/>
              <w:right w:val="single" w:sz="8" w:space="0" w:color="000000"/>
            </w:tcBorders>
            <w:shd w:val="clear" w:color="auto" w:fill="auto"/>
            <w:vAlign w:val="center"/>
            <w:hideMark/>
          </w:tcPr>
          <w:p w14:paraId="0F162A8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6069CD5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55F65B3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67162F0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591849B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FFFF00"/>
            <w:vAlign w:val="center"/>
            <w:hideMark/>
          </w:tcPr>
          <w:p w14:paraId="13D191B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69D0840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auto"/>
            <w:vAlign w:val="center"/>
            <w:hideMark/>
          </w:tcPr>
          <w:p w14:paraId="7F6508B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620CDD2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228C03B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000000" w:fill="FFFFFF"/>
            <w:vAlign w:val="center"/>
            <w:hideMark/>
          </w:tcPr>
          <w:p w14:paraId="7078782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58A71C41" w14:textId="77777777" w:rsidR="00904BC9" w:rsidRPr="006A5DDE" w:rsidRDefault="00904BC9" w:rsidP="00F067AC">
            <w:pPr>
              <w:rPr>
                <w:rFonts w:ascii="Arial" w:eastAsia="Times New Roman" w:hAnsi="Arial" w:cs="Arial"/>
                <w:szCs w:val="24"/>
                <w:lang w:eastAsia="en-GB"/>
              </w:rPr>
            </w:pPr>
          </w:p>
        </w:tc>
      </w:tr>
      <w:tr w:rsidR="00904BC9" w:rsidRPr="006A5DDE" w14:paraId="442023B5" w14:textId="77777777" w:rsidTr="00746D90">
        <w:trPr>
          <w:trHeight w:val="49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2E55AB8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Cyber security</w:t>
            </w:r>
          </w:p>
        </w:tc>
        <w:tc>
          <w:tcPr>
            <w:tcW w:w="517" w:type="pct"/>
            <w:tcBorders>
              <w:top w:val="nil"/>
              <w:left w:val="nil"/>
              <w:bottom w:val="single" w:sz="8" w:space="0" w:color="000000"/>
              <w:right w:val="single" w:sz="8" w:space="0" w:color="000000"/>
            </w:tcBorders>
            <w:shd w:val="clear" w:color="auto" w:fill="auto"/>
            <w:vAlign w:val="center"/>
            <w:hideMark/>
          </w:tcPr>
          <w:p w14:paraId="27A1C07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03627DF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748623B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C000"/>
            <w:vAlign w:val="center"/>
            <w:hideMark/>
          </w:tcPr>
          <w:p w14:paraId="591456C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7C5103F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4B11795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867CB9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40FAAF1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6C1C88D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1DBA2E0B"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000000" w:fill="FFFFFF"/>
            <w:vAlign w:val="center"/>
            <w:hideMark/>
          </w:tcPr>
          <w:p w14:paraId="0A852DB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3238B262" w14:textId="77777777" w:rsidR="00904BC9" w:rsidRPr="006A5DDE" w:rsidRDefault="00904BC9" w:rsidP="00F067AC">
            <w:pPr>
              <w:rPr>
                <w:rFonts w:ascii="Arial" w:eastAsia="Times New Roman" w:hAnsi="Arial" w:cs="Arial"/>
                <w:szCs w:val="24"/>
                <w:lang w:eastAsia="en-GB"/>
              </w:rPr>
            </w:pPr>
          </w:p>
        </w:tc>
      </w:tr>
      <w:tr w:rsidR="00904BC9" w:rsidRPr="006A5DDE" w14:paraId="6A511C67" w14:textId="77777777" w:rsidTr="00746D90">
        <w:trPr>
          <w:trHeight w:val="49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2006A2E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Major change</w:t>
            </w:r>
          </w:p>
        </w:tc>
        <w:tc>
          <w:tcPr>
            <w:tcW w:w="517" w:type="pct"/>
            <w:tcBorders>
              <w:top w:val="nil"/>
              <w:left w:val="nil"/>
              <w:bottom w:val="single" w:sz="8" w:space="0" w:color="000000"/>
              <w:right w:val="single" w:sz="8" w:space="0" w:color="000000"/>
            </w:tcBorders>
            <w:shd w:val="clear" w:color="auto" w:fill="auto"/>
            <w:vAlign w:val="center"/>
            <w:hideMark/>
          </w:tcPr>
          <w:p w14:paraId="39A3808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5087BA3A"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02001977"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58DDAE4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4B733DD9"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1F1881D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0A396D3F"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00B050"/>
            <w:vAlign w:val="center"/>
            <w:hideMark/>
          </w:tcPr>
          <w:p w14:paraId="5820CB7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D29D22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486FA756"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000000" w:fill="FFFFFF"/>
            <w:vAlign w:val="center"/>
            <w:hideMark/>
          </w:tcPr>
          <w:p w14:paraId="7E737C9C"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2F805BDE" w14:textId="77777777" w:rsidR="00904BC9" w:rsidRPr="006A5DDE" w:rsidRDefault="00904BC9" w:rsidP="00F067AC">
            <w:pPr>
              <w:rPr>
                <w:rFonts w:ascii="Arial" w:eastAsia="Times New Roman" w:hAnsi="Arial" w:cs="Arial"/>
                <w:szCs w:val="24"/>
                <w:lang w:eastAsia="en-GB"/>
              </w:rPr>
            </w:pPr>
          </w:p>
        </w:tc>
      </w:tr>
      <w:tr w:rsidR="00904BC9" w:rsidRPr="006A5DDE" w14:paraId="416D1DB5" w14:textId="77777777" w:rsidTr="00FB50C7">
        <w:trPr>
          <w:trHeight w:val="495"/>
        </w:trPr>
        <w:tc>
          <w:tcPr>
            <w:tcW w:w="880" w:type="pct"/>
            <w:tcBorders>
              <w:top w:val="nil"/>
              <w:left w:val="single" w:sz="8" w:space="0" w:color="000000"/>
              <w:bottom w:val="single" w:sz="8" w:space="0" w:color="000000"/>
              <w:right w:val="single" w:sz="8" w:space="0" w:color="000000"/>
            </w:tcBorders>
            <w:shd w:val="clear" w:color="auto" w:fill="auto"/>
            <w:vAlign w:val="center"/>
            <w:hideMark/>
          </w:tcPr>
          <w:p w14:paraId="44BB839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Educational partnerships</w:t>
            </w:r>
          </w:p>
        </w:tc>
        <w:tc>
          <w:tcPr>
            <w:tcW w:w="517" w:type="pct"/>
            <w:tcBorders>
              <w:top w:val="nil"/>
              <w:left w:val="nil"/>
              <w:bottom w:val="single" w:sz="8" w:space="0" w:color="000000"/>
              <w:right w:val="single" w:sz="8" w:space="0" w:color="000000"/>
            </w:tcBorders>
            <w:shd w:val="clear" w:color="auto" w:fill="auto"/>
            <w:vAlign w:val="center"/>
            <w:hideMark/>
          </w:tcPr>
          <w:p w14:paraId="68B33DF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67" w:type="pct"/>
            <w:tcBorders>
              <w:top w:val="nil"/>
              <w:left w:val="nil"/>
              <w:bottom w:val="single" w:sz="8" w:space="0" w:color="000000"/>
              <w:right w:val="single" w:sz="8" w:space="0" w:color="000000"/>
            </w:tcBorders>
            <w:shd w:val="clear" w:color="auto" w:fill="auto"/>
            <w:vAlign w:val="center"/>
            <w:hideMark/>
          </w:tcPr>
          <w:p w14:paraId="3F5C58D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63" w:type="pct"/>
            <w:tcBorders>
              <w:top w:val="nil"/>
              <w:left w:val="nil"/>
              <w:bottom w:val="single" w:sz="8" w:space="0" w:color="000000"/>
              <w:right w:val="single" w:sz="8" w:space="0" w:color="000000"/>
            </w:tcBorders>
            <w:shd w:val="clear" w:color="auto" w:fill="auto"/>
            <w:vAlign w:val="center"/>
            <w:hideMark/>
          </w:tcPr>
          <w:p w14:paraId="54C7EC9E"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000000" w:fill="FFFFFF"/>
            <w:vAlign w:val="center"/>
            <w:hideMark/>
          </w:tcPr>
          <w:p w14:paraId="14CD4710"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447" w:type="pct"/>
            <w:tcBorders>
              <w:top w:val="nil"/>
              <w:left w:val="nil"/>
              <w:bottom w:val="single" w:sz="8" w:space="0" w:color="000000"/>
              <w:right w:val="single" w:sz="8" w:space="0" w:color="000000"/>
            </w:tcBorders>
            <w:shd w:val="clear" w:color="000000" w:fill="FFFFFF"/>
            <w:vAlign w:val="center"/>
            <w:hideMark/>
          </w:tcPr>
          <w:p w14:paraId="222BE63D"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auto" w:fill="FFFF00"/>
            <w:vAlign w:val="center"/>
            <w:hideMark/>
          </w:tcPr>
          <w:p w14:paraId="092C7932"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0A322E23"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383" w:type="pct"/>
            <w:tcBorders>
              <w:top w:val="nil"/>
              <w:left w:val="nil"/>
              <w:bottom w:val="single" w:sz="8" w:space="0" w:color="000000"/>
              <w:right w:val="single" w:sz="8" w:space="0" w:color="000000"/>
            </w:tcBorders>
            <w:shd w:val="clear" w:color="auto" w:fill="F2F2F2" w:themeFill="background1" w:themeFillShade="F2"/>
            <w:vAlign w:val="center"/>
            <w:hideMark/>
          </w:tcPr>
          <w:p w14:paraId="4220A651"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799954B4"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87" w:type="pct"/>
            <w:tcBorders>
              <w:top w:val="nil"/>
              <w:left w:val="nil"/>
              <w:bottom w:val="single" w:sz="8" w:space="0" w:color="000000"/>
              <w:right w:val="single" w:sz="8" w:space="0" w:color="000000"/>
            </w:tcBorders>
            <w:shd w:val="clear" w:color="000000" w:fill="FFFFFF"/>
            <w:vAlign w:val="center"/>
            <w:hideMark/>
          </w:tcPr>
          <w:p w14:paraId="0A537115"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290" w:type="pct"/>
            <w:tcBorders>
              <w:top w:val="nil"/>
              <w:left w:val="nil"/>
              <w:bottom w:val="single" w:sz="8" w:space="0" w:color="000000"/>
              <w:right w:val="single" w:sz="8" w:space="0" w:color="000000"/>
            </w:tcBorders>
            <w:shd w:val="clear" w:color="000000" w:fill="FFFFFF"/>
            <w:vAlign w:val="center"/>
            <w:hideMark/>
          </w:tcPr>
          <w:p w14:paraId="3E25F77D" w14:textId="77777777" w:rsidR="00904BC9" w:rsidRPr="006A5DDE" w:rsidRDefault="00904BC9" w:rsidP="00F067AC">
            <w:pPr>
              <w:rPr>
                <w:rFonts w:ascii="Arial" w:eastAsia="Times New Roman" w:hAnsi="Arial" w:cs="Arial"/>
                <w:color w:val="000000"/>
                <w:szCs w:val="24"/>
                <w:lang w:eastAsia="en-GB"/>
              </w:rPr>
            </w:pPr>
            <w:r w:rsidRPr="006A5DDE">
              <w:rPr>
                <w:rFonts w:ascii="Arial" w:eastAsia="Times New Roman" w:hAnsi="Arial" w:cs="Arial"/>
                <w:color w:val="000000"/>
                <w:szCs w:val="24"/>
                <w:lang w:eastAsia="en-GB"/>
              </w:rPr>
              <w:t> </w:t>
            </w:r>
          </w:p>
        </w:tc>
        <w:tc>
          <w:tcPr>
            <w:tcW w:w="123" w:type="pct"/>
            <w:vAlign w:val="center"/>
            <w:hideMark/>
          </w:tcPr>
          <w:p w14:paraId="51944D7A" w14:textId="77777777" w:rsidR="00904BC9" w:rsidRPr="006A5DDE" w:rsidRDefault="00904BC9" w:rsidP="00F067AC">
            <w:pPr>
              <w:rPr>
                <w:rFonts w:ascii="Arial" w:eastAsia="Times New Roman" w:hAnsi="Arial" w:cs="Arial"/>
                <w:szCs w:val="24"/>
                <w:lang w:eastAsia="en-GB"/>
              </w:rPr>
            </w:pPr>
          </w:p>
        </w:tc>
      </w:tr>
    </w:tbl>
    <w:p w14:paraId="07F78BA6" w14:textId="77777777" w:rsidR="002860F5" w:rsidRPr="006A5DDE" w:rsidRDefault="002860F5" w:rsidP="005022C7">
      <w:pPr>
        <w:spacing w:line="288" w:lineRule="exact"/>
        <w:rPr>
          <w:rFonts w:ascii="Arial" w:hAnsi="Arial" w:cs="Arial"/>
          <w:szCs w:val="24"/>
        </w:rPr>
      </w:pPr>
    </w:p>
    <w:p w14:paraId="2BC8E3A3" w14:textId="01FF5989" w:rsidR="005022C7" w:rsidRPr="006A5DDE" w:rsidRDefault="005022C7" w:rsidP="005022C7">
      <w:pPr>
        <w:spacing w:line="288" w:lineRule="exact"/>
        <w:rPr>
          <w:rFonts w:ascii="Arial" w:hAnsi="Arial" w:cs="Arial"/>
          <w:szCs w:val="24"/>
        </w:rPr>
      </w:pPr>
    </w:p>
    <w:p w14:paraId="3C1A8109" w14:textId="38CD7AB3" w:rsidR="001B7DFC" w:rsidRPr="006A5DDE" w:rsidRDefault="001B7DFC" w:rsidP="005022C7">
      <w:pPr>
        <w:spacing w:line="288" w:lineRule="exact"/>
        <w:rPr>
          <w:rFonts w:ascii="Arial" w:hAnsi="Arial" w:cs="Arial"/>
          <w:b/>
          <w:bCs/>
          <w:szCs w:val="24"/>
        </w:rPr>
      </w:pPr>
      <w:r w:rsidRPr="006A5DDE">
        <w:rPr>
          <w:rFonts w:ascii="Arial" w:hAnsi="Arial" w:cs="Arial"/>
          <w:b/>
          <w:bCs/>
          <w:szCs w:val="24"/>
        </w:rPr>
        <w:t>3</w:t>
      </w:r>
      <w:r w:rsidRPr="006A5DDE">
        <w:rPr>
          <w:rFonts w:ascii="Arial" w:hAnsi="Arial" w:cs="Arial"/>
          <w:b/>
          <w:bCs/>
          <w:szCs w:val="24"/>
        </w:rPr>
        <w:tab/>
        <w:t>Risk domains</w:t>
      </w:r>
    </w:p>
    <w:p w14:paraId="3DE8E731" w14:textId="2AFA0530" w:rsidR="008C7E6E" w:rsidRPr="006A5DDE" w:rsidRDefault="008C7E6E" w:rsidP="005022C7">
      <w:pPr>
        <w:spacing w:line="288" w:lineRule="exact"/>
        <w:rPr>
          <w:rFonts w:ascii="Arial" w:hAnsi="Arial" w:cs="Arial"/>
          <w:b/>
          <w:bCs/>
          <w:szCs w:val="24"/>
        </w:rPr>
      </w:pPr>
    </w:p>
    <w:p w14:paraId="54A5D9BA" w14:textId="55F4F2DB" w:rsidR="008C7E6E" w:rsidRPr="006A5DDE" w:rsidRDefault="008C7E6E" w:rsidP="005022C7">
      <w:pPr>
        <w:spacing w:line="288" w:lineRule="exact"/>
        <w:rPr>
          <w:rFonts w:ascii="Arial" w:hAnsi="Arial" w:cs="Arial"/>
          <w:b/>
          <w:bCs/>
          <w:szCs w:val="24"/>
        </w:rPr>
      </w:pPr>
      <w:r w:rsidRPr="006A5DDE">
        <w:rPr>
          <w:rFonts w:ascii="Arial" w:hAnsi="Arial" w:cs="Arial"/>
          <w:szCs w:val="24"/>
        </w:rPr>
        <w:t>The following statements reflect the appetite position in the above table, and outline the degree of risk the University wishes to take in each category:</w:t>
      </w:r>
    </w:p>
    <w:p w14:paraId="0B59708A" w14:textId="77777777" w:rsidR="001B7DFC" w:rsidRPr="006A5DDE" w:rsidRDefault="001B7DFC" w:rsidP="005022C7">
      <w:pPr>
        <w:spacing w:line="288" w:lineRule="exact"/>
        <w:rPr>
          <w:rFonts w:ascii="Arial" w:hAnsi="Arial" w:cs="Arial"/>
          <w:szCs w:val="24"/>
        </w:rPr>
      </w:pPr>
    </w:p>
    <w:tbl>
      <w:tblPr>
        <w:tblStyle w:val="TableGrid"/>
        <w:tblW w:w="0" w:type="auto"/>
        <w:tblLook w:val="04A0" w:firstRow="1" w:lastRow="0" w:firstColumn="1" w:lastColumn="0" w:noHBand="0" w:noVBand="1"/>
      </w:tblPr>
      <w:tblGrid>
        <w:gridCol w:w="2440"/>
        <w:gridCol w:w="6576"/>
      </w:tblGrid>
      <w:tr w:rsidR="003F05AB" w:rsidRPr="006A5DDE" w14:paraId="0C07B888" w14:textId="77777777" w:rsidTr="002716B6">
        <w:trPr>
          <w:tblHeader/>
        </w:trPr>
        <w:tc>
          <w:tcPr>
            <w:tcW w:w="2440" w:type="dxa"/>
            <w:shd w:val="clear" w:color="auto" w:fill="D9D9D9" w:themeFill="background1" w:themeFillShade="D9"/>
          </w:tcPr>
          <w:p w14:paraId="54D1B4B0" w14:textId="77777777" w:rsidR="005022C7" w:rsidRPr="006A5DDE" w:rsidRDefault="005022C7" w:rsidP="005022C7">
            <w:pPr>
              <w:spacing w:line="288" w:lineRule="exact"/>
              <w:rPr>
                <w:rFonts w:ascii="Arial" w:hAnsi="Arial" w:cs="Arial"/>
                <w:b/>
                <w:szCs w:val="24"/>
              </w:rPr>
            </w:pPr>
            <w:r w:rsidRPr="006A5DDE">
              <w:rPr>
                <w:rFonts w:ascii="Arial" w:hAnsi="Arial" w:cs="Arial"/>
                <w:b/>
                <w:szCs w:val="24"/>
              </w:rPr>
              <w:t>Risk Domain</w:t>
            </w:r>
          </w:p>
          <w:p w14:paraId="0C0DA0ED" w14:textId="77777777" w:rsidR="005022C7" w:rsidRPr="006A5DDE" w:rsidRDefault="005022C7" w:rsidP="005022C7">
            <w:pPr>
              <w:spacing w:line="288" w:lineRule="exact"/>
              <w:rPr>
                <w:rFonts w:ascii="Arial" w:hAnsi="Arial" w:cs="Arial"/>
                <w:b/>
                <w:szCs w:val="24"/>
              </w:rPr>
            </w:pPr>
          </w:p>
        </w:tc>
        <w:tc>
          <w:tcPr>
            <w:tcW w:w="6576" w:type="dxa"/>
            <w:shd w:val="clear" w:color="auto" w:fill="D9D9D9" w:themeFill="background1" w:themeFillShade="D9"/>
          </w:tcPr>
          <w:p w14:paraId="01E3678A" w14:textId="77777777" w:rsidR="005022C7" w:rsidRPr="006A5DDE" w:rsidRDefault="005022C7" w:rsidP="005022C7">
            <w:pPr>
              <w:spacing w:line="288" w:lineRule="exact"/>
              <w:rPr>
                <w:rFonts w:ascii="Arial" w:hAnsi="Arial" w:cs="Arial"/>
                <w:b/>
                <w:szCs w:val="24"/>
              </w:rPr>
            </w:pPr>
            <w:r w:rsidRPr="006A5DDE">
              <w:rPr>
                <w:rFonts w:ascii="Arial" w:hAnsi="Arial" w:cs="Arial"/>
                <w:b/>
                <w:szCs w:val="24"/>
              </w:rPr>
              <w:t>Explanation of risk appetite</w:t>
            </w:r>
          </w:p>
        </w:tc>
      </w:tr>
      <w:tr w:rsidR="003F05AB" w:rsidRPr="006A5DDE" w14:paraId="2E5040A1" w14:textId="77777777" w:rsidTr="002716B6">
        <w:tc>
          <w:tcPr>
            <w:tcW w:w="2440" w:type="dxa"/>
          </w:tcPr>
          <w:p w14:paraId="1F3EF102" w14:textId="77777777" w:rsidR="003D015C" w:rsidRPr="006A5DDE" w:rsidRDefault="003D015C" w:rsidP="005022C7">
            <w:pPr>
              <w:spacing w:line="288" w:lineRule="exact"/>
              <w:rPr>
                <w:rFonts w:ascii="Arial" w:hAnsi="Arial" w:cs="Arial"/>
                <w:szCs w:val="24"/>
              </w:rPr>
            </w:pPr>
            <w:r w:rsidRPr="006A5DDE">
              <w:rPr>
                <w:rFonts w:ascii="Arial" w:hAnsi="Arial" w:cs="Arial"/>
                <w:szCs w:val="24"/>
              </w:rPr>
              <w:t>Recruitment</w:t>
            </w:r>
          </w:p>
        </w:tc>
        <w:tc>
          <w:tcPr>
            <w:tcW w:w="6576" w:type="dxa"/>
          </w:tcPr>
          <w:p w14:paraId="4CB09BA7" w14:textId="616FA928" w:rsidR="00040917" w:rsidRPr="006A5DDE" w:rsidRDefault="003D015C" w:rsidP="00933482">
            <w:pPr>
              <w:spacing w:line="288" w:lineRule="exact"/>
              <w:rPr>
                <w:rFonts w:ascii="Arial" w:hAnsi="Arial" w:cs="Arial"/>
                <w:szCs w:val="24"/>
              </w:rPr>
            </w:pPr>
            <w:r w:rsidRPr="006A5DDE">
              <w:rPr>
                <w:rFonts w:ascii="Arial" w:hAnsi="Arial" w:cs="Arial"/>
                <w:szCs w:val="24"/>
              </w:rPr>
              <w:t xml:space="preserve">The University regards </w:t>
            </w:r>
            <w:r w:rsidR="005C0F60" w:rsidRPr="006A5DDE">
              <w:rPr>
                <w:rFonts w:ascii="Arial" w:hAnsi="Arial" w:cs="Arial"/>
                <w:szCs w:val="24"/>
              </w:rPr>
              <w:t xml:space="preserve">student </w:t>
            </w:r>
            <w:r w:rsidRPr="006A5DDE">
              <w:rPr>
                <w:rFonts w:ascii="Arial" w:hAnsi="Arial" w:cs="Arial"/>
                <w:szCs w:val="24"/>
              </w:rPr>
              <w:t>recruitment</w:t>
            </w:r>
            <w:r w:rsidR="007A6C02" w:rsidRPr="006A5DDE">
              <w:rPr>
                <w:rFonts w:ascii="Arial" w:hAnsi="Arial" w:cs="Arial"/>
                <w:szCs w:val="24"/>
              </w:rPr>
              <w:t>, through its Bath-based activities and through its carefully selected educational partners,</w:t>
            </w:r>
            <w:r w:rsidRPr="006A5DDE">
              <w:rPr>
                <w:rFonts w:ascii="Arial" w:hAnsi="Arial" w:cs="Arial"/>
                <w:szCs w:val="24"/>
              </w:rPr>
              <w:t xml:space="preserve"> as fundamental to achieving a sustainable financial base.</w:t>
            </w:r>
            <w:r w:rsidR="00933482" w:rsidRPr="006A5DDE">
              <w:rPr>
                <w:rFonts w:ascii="Arial" w:hAnsi="Arial" w:cs="Arial"/>
                <w:szCs w:val="24"/>
              </w:rPr>
              <w:t xml:space="preserve"> </w:t>
            </w:r>
            <w:r w:rsidR="00933482" w:rsidRPr="006A5DDE">
              <w:rPr>
                <w:rFonts w:ascii="Arial" w:hAnsi="Arial" w:cs="Arial"/>
                <w:color w:val="222A35"/>
                <w:szCs w:val="24"/>
              </w:rPr>
              <w:t xml:space="preserve">The University’s </w:t>
            </w:r>
            <w:r w:rsidR="008631E5" w:rsidRPr="006A5DDE">
              <w:rPr>
                <w:rFonts w:ascii="Arial" w:hAnsi="Arial" w:cs="Arial"/>
                <w:color w:val="222A35"/>
                <w:szCs w:val="24"/>
              </w:rPr>
              <w:t>appetite</w:t>
            </w:r>
            <w:r w:rsidR="00933482" w:rsidRPr="006A5DDE">
              <w:rPr>
                <w:rFonts w:ascii="Arial" w:hAnsi="Arial" w:cs="Arial"/>
                <w:color w:val="222A35"/>
                <w:szCs w:val="24"/>
              </w:rPr>
              <w:t xml:space="preserve"> in relation to </w:t>
            </w:r>
            <w:r w:rsidR="00933482" w:rsidRPr="006A5DDE">
              <w:rPr>
                <w:rFonts w:ascii="Arial" w:hAnsi="Arial" w:cs="Arial"/>
                <w:b/>
                <w:color w:val="222A35"/>
                <w:szCs w:val="24"/>
              </w:rPr>
              <w:t>Recruitment</w:t>
            </w:r>
            <w:r w:rsidR="00933482" w:rsidRPr="006A5DDE">
              <w:rPr>
                <w:rFonts w:ascii="Arial" w:hAnsi="Arial" w:cs="Arial"/>
                <w:color w:val="222A35"/>
                <w:szCs w:val="24"/>
              </w:rPr>
              <w:t xml:space="preserve"> risk is </w:t>
            </w:r>
            <w:r w:rsidR="006B2298" w:rsidRPr="006A5DDE">
              <w:rPr>
                <w:rFonts w:ascii="Arial" w:hAnsi="Arial" w:cs="Arial"/>
                <w:b/>
                <w:bCs/>
                <w:color w:val="222A35"/>
                <w:szCs w:val="24"/>
              </w:rPr>
              <w:t>Open</w:t>
            </w:r>
            <w:r w:rsidR="00933482" w:rsidRPr="006A5DDE">
              <w:rPr>
                <w:rFonts w:ascii="Arial" w:hAnsi="Arial" w:cs="Arial"/>
                <w:color w:val="222A35"/>
                <w:szCs w:val="24"/>
              </w:rPr>
              <w:t>.</w:t>
            </w:r>
          </w:p>
        </w:tc>
      </w:tr>
      <w:tr w:rsidR="003F05AB" w:rsidRPr="006A5DDE" w14:paraId="1D7C1A87" w14:textId="77777777" w:rsidTr="002716B6">
        <w:tc>
          <w:tcPr>
            <w:tcW w:w="2440" w:type="dxa"/>
          </w:tcPr>
          <w:p w14:paraId="57CC324F" w14:textId="77777777" w:rsidR="005022C7" w:rsidRPr="006A5DDE" w:rsidRDefault="005022C7" w:rsidP="005022C7">
            <w:pPr>
              <w:spacing w:line="288" w:lineRule="exact"/>
              <w:rPr>
                <w:rFonts w:ascii="Arial" w:hAnsi="Arial" w:cs="Arial"/>
                <w:szCs w:val="24"/>
              </w:rPr>
            </w:pPr>
            <w:r w:rsidRPr="006A5DDE">
              <w:rPr>
                <w:rFonts w:ascii="Arial" w:hAnsi="Arial" w:cs="Arial"/>
                <w:szCs w:val="24"/>
              </w:rPr>
              <w:t>Reputation</w:t>
            </w:r>
          </w:p>
        </w:tc>
        <w:tc>
          <w:tcPr>
            <w:tcW w:w="6576" w:type="dxa"/>
          </w:tcPr>
          <w:p w14:paraId="4FB2E806" w14:textId="1B86A230" w:rsidR="005022C7" w:rsidRPr="006A5DDE" w:rsidRDefault="005022C7" w:rsidP="005022C7">
            <w:pPr>
              <w:spacing w:line="288" w:lineRule="exact"/>
              <w:rPr>
                <w:rFonts w:ascii="Arial" w:hAnsi="Arial" w:cs="Arial"/>
                <w:szCs w:val="24"/>
              </w:rPr>
            </w:pPr>
            <w:r w:rsidRPr="006A5DDE">
              <w:rPr>
                <w:rFonts w:ascii="Arial" w:hAnsi="Arial" w:cs="Arial"/>
                <w:szCs w:val="24"/>
              </w:rPr>
              <w:t xml:space="preserve">The University </w:t>
            </w:r>
            <w:r w:rsidR="003E35DC" w:rsidRPr="006A5DDE">
              <w:rPr>
                <w:rFonts w:ascii="Arial" w:hAnsi="Arial" w:cs="Arial"/>
                <w:szCs w:val="24"/>
              </w:rPr>
              <w:t>recognises the importance of ensuring that</w:t>
            </w:r>
            <w:r w:rsidR="0060042F" w:rsidRPr="006A5DDE">
              <w:rPr>
                <w:rFonts w:ascii="Arial" w:hAnsi="Arial" w:cs="Arial"/>
                <w:szCs w:val="24"/>
              </w:rPr>
              <w:t xml:space="preserve"> organisational activity and projects are managed to minim</w:t>
            </w:r>
            <w:r w:rsidR="00B42507" w:rsidRPr="006A5DDE">
              <w:rPr>
                <w:rFonts w:ascii="Arial" w:hAnsi="Arial" w:cs="Arial"/>
                <w:szCs w:val="24"/>
              </w:rPr>
              <w:t>i</w:t>
            </w:r>
            <w:r w:rsidR="0060042F" w:rsidRPr="006A5DDE">
              <w:rPr>
                <w:rFonts w:ascii="Arial" w:hAnsi="Arial" w:cs="Arial"/>
                <w:szCs w:val="24"/>
              </w:rPr>
              <w:t xml:space="preserve">se the risk of serious threat of significant harm to our </w:t>
            </w:r>
            <w:r w:rsidRPr="006A5DDE">
              <w:rPr>
                <w:rFonts w:ascii="Arial" w:hAnsi="Arial" w:cs="Arial"/>
                <w:szCs w:val="24"/>
              </w:rPr>
              <w:t xml:space="preserve">reputation as a high-quality provider through adverse publicity or loss of status as an autonomous institution </w:t>
            </w:r>
            <w:r w:rsidR="006052E9" w:rsidRPr="006A5DDE">
              <w:rPr>
                <w:rFonts w:ascii="Arial" w:hAnsi="Arial" w:cs="Arial"/>
                <w:color w:val="222A35"/>
                <w:szCs w:val="24"/>
              </w:rPr>
              <w:lastRenderedPageBreak/>
              <w:t>Overall, t</w:t>
            </w:r>
            <w:r w:rsidR="00933482" w:rsidRPr="006A5DDE">
              <w:rPr>
                <w:rFonts w:ascii="Arial" w:hAnsi="Arial" w:cs="Arial"/>
                <w:color w:val="222A35"/>
                <w:szCs w:val="24"/>
              </w:rPr>
              <w:t xml:space="preserve">he University’s </w:t>
            </w:r>
            <w:r w:rsidR="008631E5" w:rsidRPr="006A5DDE">
              <w:rPr>
                <w:rFonts w:ascii="Arial" w:hAnsi="Arial" w:cs="Arial"/>
                <w:color w:val="222A35"/>
                <w:szCs w:val="24"/>
              </w:rPr>
              <w:t>appetite</w:t>
            </w:r>
            <w:r w:rsidR="00933482" w:rsidRPr="006A5DDE">
              <w:rPr>
                <w:rFonts w:ascii="Arial" w:hAnsi="Arial" w:cs="Arial"/>
                <w:color w:val="222A35"/>
                <w:szCs w:val="24"/>
              </w:rPr>
              <w:t xml:space="preserve"> in relation to </w:t>
            </w:r>
            <w:r w:rsidR="00933482" w:rsidRPr="006A5DDE">
              <w:rPr>
                <w:rFonts w:ascii="Arial" w:hAnsi="Arial" w:cs="Arial"/>
                <w:b/>
                <w:color w:val="222A35"/>
                <w:szCs w:val="24"/>
              </w:rPr>
              <w:t>Reputation</w:t>
            </w:r>
            <w:r w:rsidR="00933482" w:rsidRPr="006A5DDE">
              <w:rPr>
                <w:rFonts w:ascii="Arial" w:hAnsi="Arial" w:cs="Arial"/>
                <w:color w:val="222A35"/>
                <w:szCs w:val="24"/>
              </w:rPr>
              <w:t xml:space="preserve"> risk is </w:t>
            </w:r>
            <w:r w:rsidR="00A30077" w:rsidRPr="006A5DDE">
              <w:rPr>
                <w:rFonts w:ascii="Arial" w:hAnsi="Arial" w:cs="Arial"/>
                <w:b/>
                <w:color w:val="222A35"/>
                <w:szCs w:val="24"/>
              </w:rPr>
              <w:t>Cautious</w:t>
            </w:r>
            <w:r w:rsidR="00933482" w:rsidRPr="006A5DDE">
              <w:rPr>
                <w:rFonts w:ascii="Arial" w:hAnsi="Arial" w:cs="Arial"/>
                <w:color w:val="222A35"/>
                <w:szCs w:val="24"/>
              </w:rPr>
              <w:t>.</w:t>
            </w:r>
          </w:p>
        </w:tc>
      </w:tr>
      <w:tr w:rsidR="003F05AB" w:rsidRPr="006A5DDE" w14:paraId="569DADC8" w14:textId="77777777" w:rsidTr="002716B6">
        <w:tc>
          <w:tcPr>
            <w:tcW w:w="2440" w:type="dxa"/>
          </w:tcPr>
          <w:p w14:paraId="3D12798C" w14:textId="77777777" w:rsidR="005022C7" w:rsidRPr="006A5DDE" w:rsidRDefault="005022C7" w:rsidP="005022C7">
            <w:pPr>
              <w:spacing w:line="288" w:lineRule="exact"/>
              <w:rPr>
                <w:rFonts w:ascii="Arial" w:hAnsi="Arial" w:cs="Arial"/>
                <w:szCs w:val="24"/>
              </w:rPr>
            </w:pPr>
            <w:r w:rsidRPr="006A5DDE">
              <w:rPr>
                <w:rFonts w:ascii="Arial" w:hAnsi="Arial" w:cs="Arial"/>
                <w:szCs w:val="24"/>
              </w:rPr>
              <w:lastRenderedPageBreak/>
              <w:t>Compliance</w:t>
            </w:r>
          </w:p>
        </w:tc>
        <w:tc>
          <w:tcPr>
            <w:tcW w:w="6576" w:type="dxa"/>
          </w:tcPr>
          <w:p w14:paraId="08CDB4CC" w14:textId="352A23D7" w:rsidR="00E53D52" w:rsidRPr="006A5DDE" w:rsidRDefault="005022C7" w:rsidP="00933482">
            <w:pPr>
              <w:spacing w:line="288" w:lineRule="exact"/>
              <w:rPr>
                <w:rFonts w:ascii="Arial" w:hAnsi="Arial" w:cs="Arial"/>
                <w:szCs w:val="24"/>
              </w:rPr>
            </w:pPr>
            <w:r w:rsidRPr="006A5DDE">
              <w:rPr>
                <w:rFonts w:ascii="Arial" w:hAnsi="Arial" w:cs="Arial"/>
                <w:szCs w:val="24"/>
              </w:rPr>
              <w:t xml:space="preserve">The University </w:t>
            </w:r>
            <w:r w:rsidR="00A30077" w:rsidRPr="006A5DDE">
              <w:rPr>
                <w:rFonts w:ascii="Arial" w:hAnsi="Arial" w:cs="Arial"/>
                <w:szCs w:val="24"/>
              </w:rPr>
              <w:t>recognises the critical importance of ensuring</w:t>
            </w:r>
            <w:r w:rsidRPr="006A5DDE">
              <w:rPr>
                <w:rFonts w:ascii="Arial" w:hAnsi="Arial" w:cs="Arial"/>
                <w:szCs w:val="24"/>
              </w:rPr>
              <w:t xml:space="preserve"> any project or activity that would threaten its compliance with</w:t>
            </w:r>
            <w:r w:rsidR="009C361F" w:rsidRPr="006A5DDE">
              <w:rPr>
                <w:rFonts w:ascii="Arial" w:hAnsi="Arial" w:cs="Arial"/>
                <w:szCs w:val="24"/>
              </w:rPr>
              <w:t xml:space="preserve"> </w:t>
            </w:r>
            <w:r w:rsidRPr="006A5DDE">
              <w:rPr>
                <w:rFonts w:ascii="Arial" w:hAnsi="Arial" w:cs="Arial"/>
                <w:szCs w:val="24"/>
              </w:rPr>
              <w:t>statutory, regulatory, professional or ethical requirements and standards</w:t>
            </w:r>
            <w:r w:rsidR="00A30077" w:rsidRPr="006A5DDE">
              <w:rPr>
                <w:rFonts w:ascii="Arial" w:hAnsi="Arial" w:cs="Arial"/>
                <w:szCs w:val="24"/>
              </w:rPr>
              <w:t xml:space="preserve">. </w:t>
            </w:r>
            <w:r w:rsidR="00493A49" w:rsidRPr="006A5DDE">
              <w:rPr>
                <w:rFonts w:ascii="Arial" w:hAnsi="Arial" w:cs="Arial"/>
                <w:szCs w:val="24"/>
              </w:rPr>
              <w:t xml:space="preserve">The University’s risk appetite around Government Policy is aligned with its appetite around Compliance. </w:t>
            </w:r>
            <w:r w:rsidR="00933482" w:rsidRPr="006A5DDE">
              <w:rPr>
                <w:rFonts w:ascii="Arial" w:hAnsi="Arial" w:cs="Arial"/>
                <w:color w:val="222A35"/>
                <w:szCs w:val="24"/>
              </w:rPr>
              <w:t xml:space="preserve">The University’s position in relation to </w:t>
            </w:r>
            <w:r w:rsidR="00933482" w:rsidRPr="006A5DDE">
              <w:rPr>
                <w:rFonts w:ascii="Arial" w:hAnsi="Arial" w:cs="Arial"/>
                <w:b/>
                <w:color w:val="222A35"/>
                <w:szCs w:val="24"/>
              </w:rPr>
              <w:t>Compliance</w:t>
            </w:r>
            <w:r w:rsidR="00933482" w:rsidRPr="006A5DDE">
              <w:rPr>
                <w:rFonts w:ascii="Arial" w:hAnsi="Arial" w:cs="Arial"/>
                <w:color w:val="222A35"/>
                <w:szCs w:val="24"/>
              </w:rPr>
              <w:t xml:space="preserve"> risk is </w:t>
            </w:r>
            <w:r w:rsidR="00A30077" w:rsidRPr="006A5DDE">
              <w:rPr>
                <w:rFonts w:ascii="Arial" w:hAnsi="Arial" w:cs="Arial"/>
                <w:b/>
                <w:color w:val="222A35"/>
                <w:szCs w:val="24"/>
              </w:rPr>
              <w:t>Cautious</w:t>
            </w:r>
            <w:r w:rsidR="00933482" w:rsidRPr="006A5DDE">
              <w:rPr>
                <w:rFonts w:ascii="Arial" w:hAnsi="Arial" w:cs="Arial"/>
                <w:color w:val="222A35"/>
                <w:szCs w:val="24"/>
              </w:rPr>
              <w:t>.</w:t>
            </w:r>
          </w:p>
        </w:tc>
      </w:tr>
      <w:tr w:rsidR="003F05AB" w:rsidRPr="006A5DDE" w14:paraId="3B1246F6" w14:textId="77777777" w:rsidTr="002716B6">
        <w:tc>
          <w:tcPr>
            <w:tcW w:w="2440" w:type="dxa"/>
          </w:tcPr>
          <w:p w14:paraId="7A20A9EB" w14:textId="77777777" w:rsidR="003D015C" w:rsidRPr="006A5DDE" w:rsidRDefault="003D015C" w:rsidP="00D37210">
            <w:pPr>
              <w:spacing w:line="288" w:lineRule="exact"/>
              <w:rPr>
                <w:rFonts w:ascii="Arial" w:hAnsi="Arial" w:cs="Arial"/>
                <w:szCs w:val="24"/>
              </w:rPr>
            </w:pPr>
            <w:r w:rsidRPr="006A5DDE">
              <w:rPr>
                <w:rFonts w:ascii="Arial" w:hAnsi="Arial" w:cs="Arial"/>
                <w:szCs w:val="24"/>
              </w:rPr>
              <w:t>Government</w:t>
            </w:r>
            <w:r w:rsidR="00D37210" w:rsidRPr="006A5DDE">
              <w:rPr>
                <w:rFonts w:ascii="Arial" w:hAnsi="Arial" w:cs="Arial"/>
                <w:szCs w:val="24"/>
              </w:rPr>
              <w:t xml:space="preserve"> Policy/External Environment</w:t>
            </w:r>
          </w:p>
        </w:tc>
        <w:tc>
          <w:tcPr>
            <w:tcW w:w="6576" w:type="dxa"/>
          </w:tcPr>
          <w:p w14:paraId="52239B86" w14:textId="57666DE6" w:rsidR="003D015C" w:rsidRPr="006A5DDE" w:rsidRDefault="003D015C" w:rsidP="00933482">
            <w:pPr>
              <w:spacing w:line="288" w:lineRule="exact"/>
              <w:rPr>
                <w:rFonts w:ascii="Arial" w:hAnsi="Arial" w:cs="Arial"/>
                <w:szCs w:val="24"/>
              </w:rPr>
            </w:pPr>
            <w:r w:rsidRPr="006A5DDE">
              <w:rPr>
                <w:rFonts w:ascii="Arial" w:hAnsi="Arial" w:cs="Arial"/>
                <w:szCs w:val="24"/>
              </w:rPr>
              <w:t>The University will engage with Government and other policy influencers and makers with a view to ensuring a favourable external environment to the pursuit of its charitable status and mission.</w:t>
            </w:r>
            <w:r w:rsidR="00A30077" w:rsidRPr="006A5DDE">
              <w:rPr>
                <w:rFonts w:ascii="Arial" w:hAnsi="Arial" w:cs="Arial"/>
                <w:szCs w:val="24"/>
              </w:rPr>
              <w:t xml:space="preserve"> The University’s risk appetite </w:t>
            </w:r>
            <w:r w:rsidR="00493A49" w:rsidRPr="006A5DDE">
              <w:rPr>
                <w:rFonts w:ascii="Arial" w:hAnsi="Arial" w:cs="Arial"/>
                <w:szCs w:val="24"/>
              </w:rPr>
              <w:t>around</w:t>
            </w:r>
            <w:r w:rsidR="00A30077" w:rsidRPr="006A5DDE">
              <w:rPr>
                <w:rFonts w:ascii="Arial" w:hAnsi="Arial" w:cs="Arial"/>
                <w:szCs w:val="24"/>
              </w:rPr>
              <w:t xml:space="preserve"> Government Policy is aligned with its appetite</w:t>
            </w:r>
            <w:r w:rsidR="00493A49" w:rsidRPr="006A5DDE">
              <w:rPr>
                <w:rFonts w:ascii="Arial" w:hAnsi="Arial" w:cs="Arial"/>
                <w:szCs w:val="24"/>
              </w:rPr>
              <w:t xml:space="preserve"> around Compliance.</w:t>
            </w:r>
            <w:r w:rsidR="00933482" w:rsidRPr="006A5DDE">
              <w:rPr>
                <w:rFonts w:ascii="Arial" w:hAnsi="Arial" w:cs="Arial"/>
                <w:szCs w:val="24"/>
              </w:rPr>
              <w:t xml:space="preserve"> </w:t>
            </w:r>
            <w:r w:rsidR="00933482" w:rsidRPr="006A5DDE">
              <w:rPr>
                <w:rFonts w:ascii="Arial" w:hAnsi="Arial" w:cs="Arial"/>
                <w:color w:val="222A35"/>
                <w:szCs w:val="24"/>
              </w:rPr>
              <w:t xml:space="preserve">The University’s </w:t>
            </w:r>
            <w:r w:rsidR="008631E5" w:rsidRPr="006A5DDE">
              <w:rPr>
                <w:rFonts w:ascii="Arial" w:hAnsi="Arial" w:cs="Arial"/>
                <w:color w:val="222A35"/>
                <w:szCs w:val="24"/>
              </w:rPr>
              <w:t xml:space="preserve">appetite </w:t>
            </w:r>
            <w:r w:rsidR="00933482" w:rsidRPr="006A5DDE">
              <w:rPr>
                <w:rFonts w:ascii="Arial" w:hAnsi="Arial" w:cs="Arial"/>
                <w:color w:val="222A35"/>
                <w:szCs w:val="24"/>
              </w:rPr>
              <w:t xml:space="preserve">in relation to </w:t>
            </w:r>
            <w:r w:rsidR="00933482" w:rsidRPr="006A5DDE">
              <w:rPr>
                <w:rFonts w:ascii="Arial" w:hAnsi="Arial" w:cs="Arial"/>
                <w:b/>
                <w:bCs/>
                <w:color w:val="222A35"/>
                <w:szCs w:val="24"/>
              </w:rPr>
              <w:t>Government Policy/External Environment</w:t>
            </w:r>
            <w:r w:rsidR="00933482" w:rsidRPr="006A5DDE">
              <w:rPr>
                <w:rFonts w:ascii="Arial" w:hAnsi="Arial" w:cs="Arial"/>
                <w:color w:val="222A35"/>
                <w:szCs w:val="24"/>
              </w:rPr>
              <w:t xml:space="preserve"> risk is </w:t>
            </w:r>
            <w:r w:rsidR="00A30077" w:rsidRPr="006A5DDE">
              <w:rPr>
                <w:rFonts w:ascii="Arial" w:hAnsi="Arial" w:cs="Arial"/>
                <w:b/>
                <w:color w:val="222A35"/>
                <w:szCs w:val="24"/>
              </w:rPr>
              <w:t>Cautious</w:t>
            </w:r>
            <w:r w:rsidR="00933482" w:rsidRPr="006A5DDE">
              <w:rPr>
                <w:rFonts w:ascii="Arial" w:hAnsi="Arial" w:cs="Arial"/>
                <w:color w:val="222A35"/>
                <w:szCs w:val="24"/>
              </w:rPr>
              <w:t>.</w:t>
            </w:r>
          </w:p>
        </w:tc>
      </w:tr>
      <w:tr w:rsidR="003F05AB" w:rsidRPr="006A5DDE" w14:paraId="4DC6D0BF" w14:textId="77777777" w:rsidTr="002716B6">
        <w:tc>
          <w:tcPr>
            <w:tcW w:w="2440" w:type="dxa"/>
          </w:tcPr>
          <w:p w14:paraId="473918B1" w14:textId="77777777" w:rsidR="005022C7" w:rsidRPr="006A5DDE" w:rsidRDefault="005022C7" w:rsidP="005022C7">
            <w:pPr>
              <w:spacing w:line="288" w:lineRule="exact"/>
              <w:rPr>
                <w:rFonts w:ascii="Arial" w:hAnsi="Arial" w:cs="Arial"/>
                <w:szCs w:val="24"/>
              </w:rPr>
            </w:pPr>
            <w:r w:rsidRPr="006A5DDE">
              <w:rPr>
                <w:rFonts w:ascii="Arial" w:hAnsi="Arial" w:cs="Arial"/>
                <w:szCs w:val="24"/>
              </w:rPr>
              <w:t>Financial</w:t>
            </w:r>
          </w:p>
        </w:tc>
        <w:tc>
          <w:tcPr>
            <w:tcW w:w="6576" w:type="dxa"/>
          </w:tcPr>
          <w:p w14:paraId="74752985" w14:textId="157F37E0" w:rsidR="00040917" w:rsidRPr="006A5DDE" w:rsidRDefault="005022C7" w:rsidP="00933482">
            <w:pPr>
              <w:spacing w:line="288" w:lineRule="exact"/>
              <w:rPr>
                <w:rFonts w:ascii="Arial" w:hAnsi="Arial" w:cs="Arial"/>
                <w:szCs w:val="24"/>
              </w:rPr>
            </w:pPr>
            <w:r w:rsidRPr="006A5DDE">
              <w:rPr>
                <w:rFonts w:ascii="Arial" w:hAnsi="Arial" w:cs="Arial"/>
                <w:szCs w:val="24"/>
              </w:rPr>
              <w:t>The University will always aim to work within financial parameters that maintain the long-term financial viability of the University within generally accepted boundaries of financial prudence.</w:t>
            </w:r>
            <w:r w:rsidR="002F03FD" w:rsidRPr="006A5DDE">
              <w:rPr>
                <w:rFonts w:ascii="Arial" w:hAnsi="Arial" w:cs="Arial"/>
                <w:szCs w:val="24"/>
              </w:rPr>
              <w:t xml:space="preserve"> Therefore, the </w:t>
            </w:r>
            <w:r w:rsidR="008631E5" w:rsidRPr="006A5DDE">
              <w:rPr>
                <w:rFonts w:ascii="Arial" w:hAnsi="Arial" w:cs="Arial"/>
                <w:szCs w:val="24"/>
              </w:rPr>
              <w:t>U</w:t>
            </w:r>
            <w:r w:rsidR="002F03FD" w:rsidRPr="006A5DDE">
              <w:rPr>
                <w:rFonts w:ascii="Arial" w:hAnsi="Arial" w:cs="Arial"/>
                <w:szCs w:val="24"/>
              </w:rPr>
              <w:t>niversity currently has a</w:t>
            </w:r>
            <w:r w:rsidR="006C7FA9" w:rsidRPr="006A5DDE">
              <w:rPr>
                <w:rFonts w:ascii="Arial" w:hAnsi="Arial" w:cs="Arial"/>
                <w:szCs w:val="24"/>
              </w:rPr>
              <w:t xml:space="preserve"> </w:t>
            </w:r>
            <w:r w:rsidR="006C7FA9" w:rsidRPr="006A5DDE">
              <w:rPr>
                <w:rFonts w:ascii="Arial" w:hAnsi="Arial" w:cs="Arial"/>
                <w:b/>
                <w:bCs/>
                <w:szCs w:val="24"/>
              </w:rPr>
              <w:t>Moderate</w:t>
            </w:r>
            <w:r w:rsidR="00D23DAF" w:rsidRPr="006A5DDE">
              <w:rPr>
                <w:rFonts w:ascii="Arial" w:hAnsi="Arial" w:cs="Arial"/>
                <w:szCs w:val="24"/>
              </w:rPr>
              <w:t xml:space="preserve"> </w:t>
            </w:r>
            <w:r w:rsidR="002F03FD" w:rsidRPr="006A5DDE">
              <w:rPr>
                <w:rFonts w:ascii="Arial" w:hAnsi="Arial" w:cs="Arial"/>
                <w:szCs w:val="24"/>
              </w:rPr>
              <w:t xml:space="preserve">appetite for risk to achieve its overall </w:t>
            </w:r>
            <w:r w:rsidR="002F03FD" w:rsidRPr="006A5DDE">
              <w:rPr>
                <w:rFonts w:ascii="Arial" w:hAnsi="Arial" w:cs="Arial"/>
                <w:b/>
                <w:szCs w:val="24"/>
              </w:rPr>
              <w:t xml:space="preserve">financial </w:t>
            </w:r>
            <w:r w:rsidR="002F03FD" w:rsidRPr="006A5DDE">
              <w:rPr>
                <w:rFonts w:ascii="Arial" w:hAnsi="Arial" w:cs="Arial"/>
                <w:szCs w:val="24"/>
              </w:rPr>
              <w:t>goals, while carefully managing current operations</w:t>
            </w:r>
            <w:r w:rsidR="00D71683" w:rsidRPr="006A5DDE">
              <w:rPr>
                <w:rFonts w:ascii="Arial" w:hAnsi="Arial" w:cs="Arial"/>
                <w:szCs w:val="24"/>
              </w:rPr>
              <w:t>,</w:t>
            </w:r>
            <w:r w:rsidR="002F03FD" w:rsidRPr="006A5DDE">
              <w:rPr>
                <w:rFonts w:ascii="Arial" w:hAnsi="Arial" w:cs="Arial"/>
                <w:szCs w:val="24"/>
              </w:rPr>
              <w:t xml:space="preserve"> income targets</w:t>
            </w:r>
            <w:r w:rsidR="00D71683" w:rsidRPr="006A5DDE">
              <w:rPr>
                <w:rFonts w:ascii="Arial" w:hAnsi="Arial" w:cs="Arial"/>
                <w:szCs w:val="24"/>
              </w:rPr>
              <w:t xml:space="preserve"> and the University’s financial investment portfolio</w:t>
            </w:r>
            <w:r w:rsidR="002F03FD" w:rsidRPr="006A5DDE">
              <w:rPr>
                <w:rFonts w:ascii="Arial" w:hAnsi="Arial" w:cs="Arial"/>
                <w:szCs w:val="24"/>
              </w:rPr>
              <w:t>.</w:t>
            </w:r>
          </w:p>
        </w:tc>
      </w:tr>
      <w:tr w:rsidR="003F05AB" w:rsidRPr="006A5DDE" w14:paraId="2573817B" w14:textId="77777777" w:rsidTr="002716B6">
        <w:tc>
          <w:tcPr>
            <w:tcW w:w="2440" w:type="dxa"/>
          </w:tcPr>
          <w:p w14:paraId="5F430BEC" w14:textId="77777777" w:rsidR="005022C7" w:rsidRPr="006A5DDE" w:rsidRDefault="005022C7" w:rsidP="005022C7">
            <w:pPr>
              <w:spacing w:line="288" w:lineRule="exact"/>
              <w:rPr>
                <w:rFonts w:ascii="Arial" w:hAnsi="Arial" w:cs="Arial"/>
                <w:szCs w:val="24"/>
              </w:rPr>
            </w:pPr>
            <w:r w:rsidRPr="006A5DDE">
              <w:rPr>
                <w:rFonts w:ascii="Arial" w:hAnsi="Arial" w:cs="Arial"/>
                <w:szCs w:val="24"/>
              </w:rPr>
              <w:t>Education and Student Experience</w:t>
            </w:r>
          </w:p>
        </w:tc>
        <w:tc>
          <w:tcPr>
            <w:tcW w:w="6576" w:type="dxa"/>
          </w:tcPr>
          <w:p w14:paraId="2A2D4317" w14:textId="254571BB" w:rsidR="005C0F60" w:rsidRPr="006A5DDE" w:rsidRDefault="005022C7" w:rsidP="00933482">
            <w:pPr>
              <w:spacing w:line="288" w:lineRule="exact"/>
              <w:rPr>
                <w:rFonts w:ascii="Arial" w:hAnsi="Arial" w:cs="Arial"/>
                <w:szCs w:val="24"/>
              </w:rPr>
            </w:pPr>
            <w:r w:rsidRPr="006A5DDE">
              <w:rPr>
                <w:rFonts w:ascii="Arial" w:hAnsi="Arial" w:cs="Arial"/>
                <w:szCs w:val="24"/>
              </w:rPr>
              <w:t>The University wishes to encourage an innovative and enterprising attitude in enhancing the educational offering and student experience</w:t>
            </w:r>
            <w:r w:rsidR="00B56044" w:rsidRPr="006A5DDE">
              <w:rPr>
                <w:rFonts w:ascii="Arial" w:hAnsi="Arial" w:cs="Arial"/>
                <w:szCs w:val="24"/>
              </w:rPr>
              <w:t>, reflecting the University’s entrepreneurial culture and desire to push boundaries in taking on new challenges</w:t>
            </w:r>
            <w:r w:rsidRPr="006A5DDE">
              <w:rPr>
                <w:rFonts w:ascii="Arial" w:hAnsi="Arial" w:cs="Arial"/>
                <w:szCs w:val="24"/>
              </w:rPr>
              <w:t xml:space="preserve">. The University acknowledges that such activities may carry </w:t>
            </w:r>
            <w:r w:rsidR="00BB1CB4" w:rsidRPr="006A5DDE">
              <w:rPr>
                <w:rFonts w:ascii="Arial" w:hAnsi="Arial" w:cs="Arial"/>
                <w:szCs w:val="24"/>
              </w:rPr>
              <w:t>risk, at times significant risk,</w:t>
            </w:r>
            <w:r w:rsidRPr="006A5DDE">
              <w:rPr>
                <w:rFonts w:ascii="Arial" w:hAnsi="Arial" w:cs="Arial"/>
                <w:szCs w:val="24"/>
              </w:rPr>
              <w:t xml:space="preserve"> but will always ensure that the benefits and risks are fully understood before activities or projects are authorised, and that reasonable and sensible measures of risk mitigation are established.</w:t>
            </w:r>
            <w:r w:rsidR="00807E5E" w:rsidRPr="006A5DDE">
              <w:rPr>
                <w:rFonts w:ascii="Arial" w:hAnsi="Arial" w:cs="Arial"/>
                <w:szCs w:val="24"/>
              </w:rPr>
              <w:t xml:space="preserve"> The </w:t>
            </w:r>
            <w:r w:rsidR="008823BA" w:rsidRPr="006A5DDE">
              <w:rPr>
                <w:rFonts w:ascii="Arial" w:hAnsi="Arial" w:cs="Arial"/>
                <w:szCs w:val="24"/>
              </w:rPr>
              <w:t>U</w:t>
            </w:r>
            <w:r w:rsidR="00807E5E" w:rsidRPr="006A5DDE">
              <w:rPr>
                <w:rFonts w:ascii="Arial" w:hAnsi="Arial" w:cs="Arial"/>
                <w:szCs w:val="24"/>
              </w:rPr>
              <w:t xml:space="preserve">niversity also recognises the powerful role that current students and alumni play in cultivating a positive reputation for the </w:t>
            </w:r>
            <w:r w:rsidR="008823BA" w:rsidRPr="006A5DDE">
              <w:rPr>
                <w:rFonts w:ascii="Arial" w:hAnsi="Arial" w:cs="Arial"/>
                <w:szCs w:val="24"/>
              </w:rPr>
              <w:t>U</w:t>
            </w:r>
            <w:r w:rsidR="00807E5E" w:rsidRPr="006A5DDE">
              <w:rPr>
                <w:rFonts w:ascii="Arial" w:hAnsi="Arial" w:cs="Arial"/>
                <w:szCs w:val="24"/>
              </w:rPr>
              <w:t xml:space="preserve">niversity. Overall, the </w:t>
            </w:r>
            <w:r w:rsidR="008823BA" w:rsidRPr="006A5DDE">
              <w:rPr>
                <w:rFonts w:ascii="Arial" w:hAnsi="Arial" w:cs="Arial"/>
                <w:szCs w:val="24"/>
              </w:rPr>
              <w:t>U</w:t>
            </w:r>
            <w:r w:rsidR="00807E5E" w:rsidRPr="006A5DDE">
              <w:rPr>
                <w:rFonts w:ascii="Arial" w:hAnsi="Arial" w:cs="Arial"/>
                <w:szCs w:val="24"/>
              </w:rPr>
              <w:t xml:space="preserve">niversity has an </w:t>
            </w:r>
            <w:r w:rsidR="00933482" w:rsidRPr="006A5DDE">
              <w:rPr>
                <w:rFonts w:ascii="Arial" w:hAnsi="Arial" w:cs="Arial"/>
                <w:b/>
                <w:szCs w:val="24"/>
              </w:rPr>
              <w:t>Open</w:t>
            </w:r>
            <w:r w:rsidR="00933482" w:rsidRPr="006A5DDE">
              <w:rPr>
                <w:rFonts w:ascii="Arial" w:hAnsi="Arial" w:cs="Arial"/>
                <w:szCs w:val="24"/>
              </w:rPr>
              <w:t xml:space="preserve"> </w:t>
            </w:r>
            <w:r w:rsidR="00807E5E" w:rsidRPr="006A5DDE">
              <w:rPr>
                <w:rFonts w:ascii="Arial" w:hAnsi="Arial" w:cs="Arial"/>
                <w:szCs w:val="24"/>
              </w:rPr>
              <w:t xml:space="preserve">appetite for the strategic aim to ensure a </w:t>
            </w:r>
            <w:r w:rsidR="008823BA" w:rsidRPr="006A5DDE">
              <w:rPr>
                <w:rFonts w:ascii="Arial" w:hAnsi="Arial" w:cs="Arial"/>
                <w:bCs/>
                <w:szCs w:val="24"/>
              </w:rPr>
              <w:t>high-quality</w:t>
            </w:r>
            <w:r w:rsidR="00807E5E" w:rsidRPr="006A5DDE">
              <w:rPr>
                <w:rFonts w:ascii="Arial" w:hAnsi="Arial" w:cs="Arial"/>
                <w:bCs/>
                <w:szCs w:val="24"/>
              </w:rPr>
              <w:t xml:space="preserve"> </w:t>
            </w:r>
            <w:r w:rsidR="00807E5E" w:rsidRPr="006A5DDE">
              <w:rPr>
                <w:rFonts w:ascii="Arial" w:hAnsi="Arial" w:cs="Arial"/>
                <w:b/>
                <w:szCs w:val="24"/>
              </w:rPr>
              <w:t>education and student experience</w:t>
            </w:r>
            <w:r w:rsidR="00BA2615" w:rsidRPr="006A5DDE">
              <w:rPr>
                <w:rFonts w:ascii="Arial" w:hAnsi="Arial" w:cs="Arial"/>
                <w:bCs/>
                <w:szCs w:val="24"/>
              </w:rPr>
              <w:t>, whilst continuing to protect the integrity of academic standards.</w:t>
            </w:r>
          </w:p>
        </w:tc>
      </w:tr>
      <w:tr w:rsidR="00BB1CB4" w:rsidRPr="006A5DDE" w14:paraId="28723781" w14:textId="77777777" w:rsidTr="002716B6">
        <w:tc>
          <w:tcPr>
            <w:tcW w:w="2440" w:type="dxa"/>
          </w:tcPr>
          <w:p w14:paraId="663AAE97" w14:textId="474B09D1" w:rsidR="00BB1CB4" w:rsidRPr="006A5DDE" w:rsidRDefault="00BB1CB4" w:rsidP="004337CC">
            <w:pPr>
              <w:spacing w:line="288" w:lineRule="exact"/>
              <w:rPr>
                <w:rFonts w:ascii="Arial" w:hAnsi="Arial" w:cs="Arial"/>
                <w:szCs w:val="24"/>
              </w:rPr>
            </w:pPr>
            <w:r w:rsidRPr="006A5DDE">
              <w:rPr>
                <w:rFonts w:ascii="Arial" w:hAnsi="Arial" w:cs="Arial"/>
                <w:szCs w:val="24"/>
              </w:rPr>
              <w:t>Staff</w:t>
            </w:r>
            <w:r w:rsidR="001268AB" w:rsidRPr="006A5DDE">
              <w:rPr>
                <w:rFonts w:ascii="Arial" w:hAnsi="Arial" w:cs="Arial"/>
                <w:szCs w:val="24"/>
              </w:rPr>
              <w:t xml:space="preserve"> (People and Culture)</w:t>
            </w:r>
          </w:p>
        </w:tc>
        <w:tc>
          <w:tcPr>
            <w:tcW w:w="6576" w:type="dxa"/>
          </w:tcPr>
          <w:p w14:paraId="7448D076" w14:textId="24C47E1B" w:rsidR="00BB1CB4" w:rsidRPr="006A5DDE" w:rsidRDefault="00BB1CB4" w:rsidP="004337CC">
            <w:pPr>
              <w:spacing w:line="288" w:lineRule="exact"/>
              <w:rPr>
                <w:rFonts w:ascii="Arial" w:hAnsi="Arial" w:cs="Arial"/>
                <w:szCs w:val="24"/>
              </w:rPr>
            </w:pPr>
            <w:r w:rsidRPr="006A5DDE">
              <w:rPr>
                <w:rFonts w:ascii="Arial" w:hAnsi="Arial" w:cs="Arial"/>
                <w:szCs w:val="24"/>
              </w:rPr>
              <w:t xml:space="preserve">The University is committed to valuing, supporting and developing its workforce and to maintaining the reputation of the University as a good place to work. It wishes to gain the most value from its workforce and encourage thinking and action in innovative ways to work in order to achieve its strategic aims. The University believes strongly in the </w:t>
            </w:r>
            <w:r w:rsidRPr="006A5DDE">
              <w:rPr>
                <w:rFonts w:ascii="Arial" w:hAnsi="Arial" w:cs="Arial"/>
                <w:szCs w:val="24"/>
              </w:rPr>
              <w:lastRenderedPageBreak/>
              <w:t xml:space="preserve">importance of positive staff engagement and maintaining a values-led culture in support of our flourishing community of students and staff, putting wellbeing at the centre of risk management and measuring staff engagement as a key performance indicator. The importance of maintaining compliance with statutory employment obligations is paramount. The University’s position in relation to </w:t>
            </w:r>
            <w:r w:rsidRPr="006A5DDE">
              <w:rPr>
                <w:rFonts w:ascii="Arial" w:hAnsi="Arial" w:cs="Arial"/>
                <w:b/>
                <w:bCs/>
                <w:szCs w:val="24"/>
              </w:rPr>
              <w:t>People and</w:t>
            </w:r>
            <w:r w:rsidRPr="006A5DDE">
              <w:rPr>
                <w:rFonts w:ascii="Arial" w:hAnsi="Arial" w:cs="Arial"/>
                <w:b/>
                <w:color w:val="222A35"/>
                <w:szCs w:val="24"/>
              </w:rPr>
              <w:t xml:space="preserve"> Culture</w:t>
            </w:r>
            <w:r w:rsidRPr="006A5DDE">
              <w:rPr>
                <w:rFonts w:ascii="Arial" w:hAnsi="Arial" w:cs="Arial"/>
                <w:color w:val="222A35"/>
                <w:szCs w:val="24"/>
              </w:rPr>
              <w:t xml:space="preserve"> risks is </w:t>
            </w:r>
            <w:r w:rsidR="00BA2615" w:rsidRPr="006A5DDE">
              <w:rPr>
                <w:rFonts w:ascii="Arial" w:hAnsi="Arial" w:cs="Arial"/>
                <w:b/>
                <w:color w:val="222A35"/>
                <w:szCs w:val="24"/>
              </w:rPr>
              <w:t>Moderate</w:t>
            </w:r>
            <w:r w:rsidRPr="006A5DDE">
              <w:rPr>
                <w:rFonts w:ascii="Arial" w:hAnsi="Arial" w:cs="Arial"/>
                <w:b/>
                <w:color w:val="222A35"/>
                <w:szCs w:val="24"/>
              </w:rPr>
              <w:t>.</w:t>
            </w:r>
          </w:p>
        </w:tc>
      </w:tr>
      <w:tr w:rsidR="00BB1CB4" w:rsidRPr="006A5DDE" w:rsidDel="00BB1CB4" w14:paraId="329A3B9A" w14:textId="77777777" w:rsidTr="002716B6">
        <w:tc>
          <w:tcPr>
            <w:tcW w:w="2440" w:type="dxa"/>
          </w:tcPr>
          <w:p w14:paraId="059F4112" w14:textId="79BD184B" w:rsidR="00BB1CB4" w:rsidRPr="006A5DDE" w:rsidDel="00BB1CB4" w:rsidRDefault="00F42DFC" w:rsidP="005022C7">
            <w:pPr>
              <w:spacing w:line="288" w:lineRule="exact"/>
              <w:rPr>
                <w:rFonts w:ascii="Arial" w:hAnsi="Arial" w:cs="Arial"/>
                <w:szCs w:val="24"/>
              </w:rPr>
            </w:pPr>
            <w:r w:rsidRPr="006A5DDE">
              <w:rPr>
                <w:rFonts w:ascii="Arial" w:hAnsi="Arial" w:cs="Arial"/>
                <w:szCs w:val="24"/>
              </w:rPr>
              <w:lastRenderedPageBreak/>
              <w:t>Cyber security</w:t>
            </w:r>
          </w:p>
        </w:tc>
        <w:tc>
          <w:tcPr>
            <w:tcW w:w="6576" w:type="dxa"/>
          </w:tcPr>
          <w:p w14:paraId="498FF441" w14:textId="6B33D920" w:rsidR="00AA06E0" w:rsidRPr="006A5DDE" w:rsidDel="00BB1CB4" w:rsidRDefault="005078D2" w:rsidP="005078D2">
            <w:pPr>
              <w:spacing w:line="288" w:lineRule="exact"/>
              <w:rPr>
                <w:rFonts w:ascii="Arial" w:hAnsi="Arial" w:cs="Arial"/>
                <w:szCs w:val="24"/>
              </w:rPr>
            </w:pPr>
            <w:r w:rsidRPr="006A5DDE">
              <w:rPr>
                <w:rFonts w:ascii="Arial" w:hAnsi="Arial" w:cs="Arial"/>
                <w:szCs w:val="24"/>
              </w:rPr>
              <w:t xml:space="preserve">The University recognises its critical responsibility for ensuring its digital estate and data </w:t>
            </w:r>
            <w:r w:rsidR="00652B6E" w:rsidRPr="006A5DDE">
              <w:rPr>
                <w:rFonts w:ascii="Arial" w:hAnsi="Arial" w:cs="Arial"/>
                <w:szCs w:val="24"/>
              </w:rPr>
              <w:t>are</w:t>
            </w:r>
            <w:r w:rsidRPr="006A5DDE">
              <w:rPr>
                <w:rFonts w:ascii="Arial" w:hAnsi="Arial" w:cs="Arial"/>
                <w:szCs w:val="24"/>
              </w:rPr>
              <w:t xml:space="preserve"> resilient and secure. It recognises the need to maintain its cyber defences in line with the external threat landscape to minimise the risk and impact of a cyber-attack. The University takes a risk-based approach to cyber security, ensuring that its investment in cyber defences is aligned to appropriate risk management, while recognising that there remains a significant volume of risk which falls outside its control. </w:t>
            </w:r>
            <w:r w:rsidR="00AA06E0" w:rsidRPr="006A5DDE">
              <w:rPr>
                <w:rFonts w:ascii="Arial" w:hAnsi="Arial" w:cs="Arial"/>
                <w:szCs w:val="24"/>
              </w:rPr>
              <w:t xml:space="preserve">The University’s position in relation to </w:t>
            </w:r>
            <w:r w:rsidR="008D34BB" w:rsidRPr="006A5DDE">
              <w:rPr>
                <w:rFonts w:ascii="Arial" w:hAnsi="Arial" w:cs="Arial"/>
                <w:b/>
                <w:bCs/>
                <w:szCs w:val="24"/>
              </w:rPr>
              <w:t>Cyber Security</w:t>
            </w:r>
            <w:r w:rsidR="008D34BB" w:rsidRPr="006A5DDE">
              <w:rPr>
                <w:rFonts w:ascii="Arial" w:hAnsi="Arial" w:cs="Arial"/>
                <w:szCs w:val="24"/>
              </w:rPr>
              <w:t xml:space="preserve"> is </w:t>
            </w:r>
            <w:r w:rsidR="008D34BB" w:rsidRPr="006A5DDE">
              <w:rPr>
                <w:rFonts w:ascii="Arial" w:hAnsi="Arial" w:cs="Arial"/>
                <w:b/>
                <w:bCs/>
                <w:szCs w:val="24"/>
              </w:rPr>
              <w:t>Cautious</w:t>
            </w:r>
            <w:r w:rsidR="008D34BB" w:rsidRPr="006A5DDE">
              <w:rPr>
                <w:rFonts w:ascii="Arial" w:hAnsi="Arial" w:cs="Arial"/>
                <w:szCs w:val="24"/>
              </w:rPr>
              <w:t>.</w:t>
            </w:r>
          </w:p>
        </w:tc>
      </w:tr>
      <w:tr w:rsidR="003F05AB" w:rsidRPr="006A5DDE" w14:paraId="2625AC5A" w14:textId="77777777" w:rsidTr="002716B6">
        <w:tc>
          <w:tcPr>
            <w:tcW w:w="2440" w:type="dxa"/>
          </w:tcPr>
          <w:p w14:paraId="09DD242B" w14:textId="77777777" w:rsidR="005022C7" w:rsidRPr="006A5DDE" w:rsidRDefault="005022C7" w:rsidP="005022C7">
            <w:pPr>
              <w:spacing w:line="288" w:lineRule="exact"/>
              <w:rPr>
                <w:rFonts w:ascii="Arial" w:hAnsi="Arial" w:cs="Arial"/>
                <w:szCs w:val="24"/>
              </w:rPr>
            </w:pPr>
            <w:r w:rsidRPr="006A5DDE">
              <w:rPr>
                <w:rFonts w:ascii="Arial" w:hAnsi="Arial" w:cs="Arial"/>
                <w:szCs w:val="24"/>
              </w:rPr>
              <w:t>Major Change Projects</w:t>
            </w:r>
          </w:p>
        </w:tc>
        <w:tc>
          <w:tcPr>
            <w:tcW w:w="6576" w:type="dxa"/>
          </w:tcPr>
          <w:p w14:paraId="03C13548" w14:textId="038DE45A" w:rsidR="008823BA" w:rsidRPr="006A5DDE" w:rsidRDefault="005022C7" w:rsidP="00933482">
            <w:pPr>
              <w:spacing w:line="288" w:lineRule="exact"/>
              <w:rPr>
                <w:rFonts w:ascii="Arial" w:hAnsi="Arial" w:cs="Arial"/>
                <w:szCs w:val="24"/>
              </w:rPr>
            </w:pPr>
            <w:r w:rsidRPr="006A5DDE">
              <w:rPr>
                <w:rFonts w:ascii="Arial" w:hAnsi="Arial" w:cs="Arial"/>
                <w:szCs w:val="24"/>
              </w:rPr>
              <w:t xml:space="preserve">All universities must undergo change, and at times such changes may be major and potentially high-risk with the aim or potential to affect substantial parts of the University’s activities. The University will always ensure that the benefits and risks are fully understood before activities or projects are authorised, and that reasonable and sensible measures of risk mitigation are established. </w:t>
            </w:r>
            <w:r w:rsidR="008823BA" w:rsidRPr="006A5DDE">
              <w:rPr>
                <w:rFonts w:ascii="Arial" w:hAnsi="Arial" w:cs="Arial"/>
                <w:color w:val="222A35"/>
                <w:szCs w:val="24"/>
              </w:rPr>
              <w:t xml:space="preserve">In delivering strategic and operational change the University will ensure actions are aligned with its values and that staff are supported to manage in a dynamic and evolving environment. </w:t>
            </w:r>
            <w:r w:rsidRPr="006A5DDE">
              <w:rPr>
                <w:rFonts w:ascii="Arial" w:hAnsi="Arial" w:cs="Arial"/>
                <w:szCs w:val="24"/>
              </w:rPr>
              <w:t>The importance of maintaining reputation, financial sustainability and compliance are paramount in major change projects.</w:t>
            </w:r>
            <w:r w:rsidR="00933482" w:rsidRPr="006A5DDE">
              <w:rPr>
                <w:rFonts w:ascii="Arial" w:hAnsi="Arial" w:cs="Arial"/>
                <w:szCs w:val="24"/>
              </w:rPr>
              <w:t xml:space="preserve"> </w:t>
            </w:r>
            <w:r w:rsidR="00933482" w:rsidRPr="006A5DDE">
              <w:rPr>
                <w:rFonts w:ascii="Arial" w:hAnsi="Arial" w:cs="Arial"/>
                <w:color w:val="222A35"/>
                <w:szCs w:val="24"/>
              </w:rPr>
              <w:t xml:space="preserve">The University’s </w:t>
            </w:r>
            <w:r w:rsidR="008631E5" w:rsidRPr="006A5DDE">
              <w:rPr>
                <w:rFonts w:ascii="Arial" w:hAnsi="Arial" w:cs="Arial"/>
                <w:color w:val="222A35"/>
                <w:szCs w:val="24"/>
              </w:rPr>
              <w:t>appetite</w:t>
            </w:r>
            <w:r w:rsidR="00933482" w:rsidRPr="006A5DDE">
              <w:rPr>
                <w:rFonts w:ascii="Arial" w:hAnsi="Arial" w:cs="Arial"/>
                <w:color w:val="222A35"/>
                <w:szCs w:val="24"/>
              </w:rPr>
              <w:t xml:space="preserve"> in relation to </w:t>
            </w:r>
            <w:r w:rsidR="00933482" w:rsidRPr="006A5DDE">
              <w:rPr>
                <w:rFonts w:ascii="Arial" w:hAnsi="Arial" w:cs="Arial"/>
                <w:b/>
                <w:color w:val="222A35"/>
                <w:szCs w:val="24"/>
              </w:rPr>
              <w:t>Major Change Projects</w:t>
            </w:r>
            <w:r w:rsidR="00933482" w:rsidRPr="006A5DDE">
              <w:rPr>
                <w:rFonts w:ascii="Arial" w:hAnsi="Arial" w:cs="Arial"/>
                <w:color w:val="222A35"/>
                <w:szCs w:val="24"/>
              </w:rPr>
              <w:t xml:space="preserve"> risk is </w:t>
            </w:r>
            <w:r w:rsidR="00933482" w:rsidRPr="006A5DDE">
              <w:rPr>
                <w:rFonts w:ascii="Arial" w:hAnsi="Arial" w:cs="Arial"/>
                <w:b/>
                <w:color w:val="222A35"/>
                <w:szCs w:val="24"/>
              </w:rPr>
              <w:t>Open</w:t>
            </w:r>
            <w:r w:rsidR="00933482" w:rsidRPr="006A5DDE">
              <w:rPr>
                <w:rFonts w:ascii="Arial" w:hAnsi="Arial" w:cs="Arial"/>
                <w:color w:val="222A35"/>
                <w:szCs w:val="24"/>
              </w:rPr>
              <w:t>.</w:t>
            </w:r>
          </w:p>
        </w:tc>
      </w:tr>
      <w:tr w:rsidR="003F05AB" w:rsidRPr="006A5DDE" w14:paraId="18F0A3D0" w14:textId="77777777" w:rsidTr="002716B6">
        <w:tc>
          <w:tcPr>
            <w:tcW w:w="2440" w:type="dxa"/>
          </w:tcPr>
          <w:p w14:paraId="0E51BE15" w14:textId="4C8F5727" w:rsidR="005022C7" w:rsidRPr="006A5DDE" w:rsidRDefault="001268AB" w:rsidP="00D37210">
            <w:pPr>
              <w:spacing w:line="288" w:lineRule="exact"/>
              <w:rPr>
                <w:rFonts w:ascii="Arial" w:hAnsi="Arial" w:cs="Arial"/>
                <w:szCs w:val="24"/>
              </w:rPr>
            </w:pPr>
            <w:r w:rsidRPr="006A5DDE">
              <w:rPr>
                <w:rFonts w:ascii="Arial" w:hAnsi="Arial" w:cs="Arial"/>
                <w:szCs w:val="24"/>
              </w:rPr>
              <w:t xml:space="preserve">Educational </w:t>
            </w:r>
            <w:r w:rsidR="000E0314" w:rsidRPr="006A5DDE">
              <w:rPr>
                <w:rFonts w:ascii="Arial" w:hAnsi="Arial" w:cs="Arial"/>
                <w:szCs w:val="24"/>
              </w:rPr>
              <w:t>p</w:t>
            </w:r>
            <w:r w:rsidRPr="006A5DDE">
              <w:rPr>
                <w:rFonts w:ascii="Arial" w:hAnsi="Arial" w:cs="Arial"/>
                <w:szCs w:val="24"/>
              </w:rPr>
              <w:t>artnerships (and other external relationships)</w:t>
            </w:r>
          </w:p>
        </w:tc>
        <w:tc>
          <w:tcPr>
            <w:tcW w:w="6576" w:type="dxa"/>
          </w:tcPr>
          <w:p w14:paraId="78CAD8EB" w14:textId="2F42ECFA" w:rsidR="005022C7" w:rsidRPr="006A5DDE" w:rsidRDefault="001268AB" w:rsidP="00933482">
            <w:pPr>
              <w:spacing w:line="288" w:lineRule="exact"/>
              <w:rPr>
                <w:rFonts w:ascii="Arial" w:hAnsi="Arial" w:cs="Arial"/>
                <w:szCs w:val="24"/>
              </w:rPr>
            </w:pPr>
            <w:r w:rsidRPr="006A5DDE">
              <w:rPr>
                <w:rFonts w:ascii="Arial" w:hAnsi="Arial" w:cs="Arial"/>
                <w:szCs w:val="24"/>
              </w:rPr>
              <w:t xml:space="preserve">The University wishes to work with appropriate external organisations and manage its external partnerships and relations in an effective and positive manner. The University acknowledges that some activities may carry low to high risk, but will always ensure that the benefits and risks are fully understood before activities or projects are authorised, and that reasonable and sensible measures of risk mitigation are established, including appropriate oversight and assurance mechanisms of activities undertaken by </w:t>
            </w:r>
            <w:r w:rsidR="00D61CB8" w:rsidRPr="006A5DDE">
              <w:rPr>
                <w:rFonts w:ascii="Arial" w:hAnsi="Arial" w:cs="Arial"/>
                <w:szCs w:val="24"/>
              </w:rPr>
              <w:t>partners which impact on the University/for which the University is responsible.</w:t>
            </w:r>
            <w:r w:rsidRPr="006A5DDE">
              <w:rPr>
                <w:rFonts w:ascii="Arial" w:hAnsi="Arial" w:cs="Arial"/>
                <w:szCs w:val="24"/>
              </w:rPr>
              <w:t xml:space="preserve">. The importance of maintaining reputation and compliance </w:t>
            </w:r>
            <w:r w:rsidR="00D23DAF" w:rsidRPr="006A5DDE">
              <w:rPr>
                <w:rFonts w:ascii="Arial" w:hAnsi="Arial" w:cs="Arial"/>
                <w:szCs w:val="24"/>
              </w:rPr>
              <w:t>is</w:t>
            </w:r>
            <w:r w:rsidRPr="006A5DDE">
              <w:rPr>
                <w:rFonts w:ascii="Arial" w:hAnsi="Arial" w:cs="Arial"/>
                <w:szCs w:val="24"/>
              </w:rPr>
              <w:t xml:space="preserve"> paramount in such activities. </w:t>
            </w:r>
            <w:r w:rsidRPr="006A5DDE">
              <w:rPr>
                <w:rFonts w:ascii="Arial" w:hAnsi="Arial" w:cs="Arial"/>
                <w:color w:val="222A35"/>
                <w:szCs w:val="24"/>
              </w:rPr>
              <w:t xml:space="preserve">The University’s position in relation to </w:t>
            </w:r>
            <w:r w:rsidR="00D61CB8" w:rsidRPr="006A5DDE">
              <w:rPr>
                <w:rFonts w:ascii="Arial" w:hAnsi="Arial" w:cs="Arial"/>
                <w:b/>
                <w:color w:val="222A35"/>
                <w:szCs w:val="24"/>
              </w:rPr>
              <w:t>Educational Partnerships</w:t>
            </w:r>
            <w:r w:rsidRPr="006A5DDE">
              <w:rPr>
                <w:rFonts w:ascii="Arial" w:hAnsi="Arial" w:cs="Arial"/>
                <w:color w:val="222A35"/>
                <w:szCs w:val="24"/>
              </w:rPr>
              <w:t xml:space="preserve"> is </w:t>
            </w:r>
            <w:r w:rsidR="00FB50C7" w:rsidRPr="006A5DDE">
              <w:rPr>
                <w:rFonts w:ascii="Arial" w:hAnsi="Arial" w:cs="Arial"/>
                <w:b/>
                <w:color w:val="222A35"/>
                <w:szCs w:val="24"/>
              </w:rPr>
              <w:t>Moderate</w:t>
            </w:r>
            <w:r w:rsidR="00D61CB8" w:rsidRPr="006A5DDE">
              <w:rPr>
                <w:rFonts w:ascii="Arial" w:hAnsi="Arial" w:cs="Arial"/>
                <w:b/>
                <w:color w:val="222A35"/>
                <w:szCs w:val="24"/>
              </w:rPr>
              <w:t>.</w:t>
            </w:r>
          </w:p>
        </w:tc>
      </w:tr>
    </w:tbl>
    <w:p w14:paraId="1A6D4B2B" w14:textId="56611668" w:rsidR="005022C7" w:rsidRPr="006A5DDE" w:rsidRDefault="005022C7" w:rsidP="00D03558">
      <w:pPr>
        <w:pStyle w:val="Header"/>
        <w:widowControl/>
        <w:autoSpaceDE/>
        <w:autoSpaceDN/>
        <w:adjustRightInd/>
        <w:rPr>
          <w:sz w:val="24"/>
          <w:szCs w:val="24"/>
        </w:rPr>
      </w:pPr>
    </w:p>
    <w:p w14:paraId="65A57EDA" w14:textId="190060B1" w:rsidR="009C361F" w:rsidRPr="006A5DDE" w:rsidRDefault="009C361F" w:rsidP="005022C7">
      <w:pPr>
        <w:spacing w:line="288" w:lineRule="exact"/>
        <w:rPr>
          <w:rFonts w:ascii="Arial" w:hAnsi="Arial" w:cs="Arial"/>
          <w:szCs w:val="24"/>
        </w:rPr>
      </w:pPr>
    </w:p>
    <w:p w14:paraId="3E8A2491" w14:textId="55272664" w:rsidR="009C361F" w:rsidRPr="006A5DDE" w:rsidRDefault="001B7DFC" w:rsidP="005022C7">
      <w:pPr>
        <w:spacing w:line="288" w:lineRule="exact"/>
        <w:rPr>
          <w:rFonts w:ascii="Arial" w:hAnsi="Arial" w:cs="Arial"/>
          <w:b/>
          <w:bCs/>
          <w:szCs w:val="24"/>
        </w:rPr>
      </w:pPr>
      <w:r w:rsidRPr="006A5DDE">
        <w:rPr>
          <w:rFonts w:ascii="Arial" w:hAnsi="Arial" w:cs="Arial"/>
          <w:b/>
          <w:bCs/>
          <w:szCs w:val="24"/>
        </w:rPr>
        <w:t>4</w:t>
      </w:r>
      <w:r w:rsidRPr="006A5DDE">
        <w:rPr>
          <w:rFonts w:ascii="Arial" w:hAnsi="Arial" w:cs="Arial"/>
          <w:b/>
          <w:bCs/>
          <w:szCs w:val="24"/>
        </w:rPr>
        <w:tab/>
        <w:t>Risk classifications</w:t>
      </w:r>
    </w:p>
    <w:p w14:paraId="59F89EB2" w14:textId="77777777" w:rsidR="001B7DFC" w:rsidRPr="006A5DDE" w:rsidRDefault="001B7DFC" w:rsidP="005022C7">
      <w:pPr>
        <w:spacing w:line="288" w:lineRule="exact"/>
        <w:rPr>
          <w:rFonts w:ascii="Arial" w:hAnsi="Arial" w:cs="Arial"/>
          <w:szCs w:val="24"/>
        </w:rPr>
      </w:pPr>
    </w:p>
    <w:tbl>
      <w:tblPr>
        <w:tblStyle w:val="TableGrid0"/>
        <w:tblW w:w="5000" w:type="pct"/>
        <w:tblInd w:w="0" w:type="dxa"/>
        <w:tblCellMar>
          <w:top w:w="48" w:type="dxa"/>
          <w:left w:w="108" w:type="dxa"/>
          <w:right w:w="104" w:type="dxa"/>
        </w:tblCellMar>
        <w:tblLook w:val="04A0" w:firstRow="1" w:lastRow="0" w:firstColumn="1" w:lastColumn="0" w:noHBand="0" w:noVBand="1"/>
      </w:tblPr>
      <w:tblGrid>
        <w:gridCol w:w="2153"/>
        <w:gridCol w:w="6863"/>
      </w:tblGrid>
      <w:tr w:rsidR="009C361F" w:rsidRPr="006A5DDE" w14:paraId="3A6AE242" w14:textId="77777777" w:rsidTr="00933482">
        <w:trPr>
          <w:trHeight w:val="688"/>
        </w:trPr>
        <w:tc>
          <w:tcPr>
            <w:tcW w:w="11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B5FEDF" w14:textId="6987B3B3" w:rsidR="009C361F" w:rsidRPr="006A5DDE" w:rsidRDefault="009C361F" w:rsidP="00D90491">
            <w:pPr>
              <w:ind w:right="6"/>
              <w:jc w:val="center"/>
              <w:rPr>
                <w:rFonts w:ascii="Arial" w:hAnsi="Arial" w:cs="Arial"/>
                <w:sz w:val="24"/>
                <w:szCs w:val="24"/>
              </w:rPr>
            </w:pPr>
            <w:r w:rsidRPr="006A5DDE">
              <w:rPr>
                <w:rFonts w:ascii="Arial" w:hAnsi="Arial" w:cs="Arial"/>
                <w:b/>
                <w:sz w:val="24"/>
                <w:szCs w:val="24"/>
              </w:rPr>
              <w:t xml:space="preserve">Risk Classification </w:t>
            </w:r>
          </w:p>
        </w:tc>
        <w:tc>
          <w:tcPr>
            <w:tcW w:w="38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FF7CFD" w14:textId="77777777" w:rsidR="009C361F" w:rsidRPr="006A5DDE" w:rsidRDefault="009C361F" w:rsidP="00D90491">
            <w:pPr>
              <w:rPr>
                <w:rFonts w:ascii="Arial" w:hAnsi="Arial" w:cs="Arial"/>
                <w:sz w:val="24"/>
                <w:szCs w:val="24"/>
              </w:rPr>
            </w:pPr>
            <w:r w:rsidRPr="006A5DDE">
              <w:rPr>
                <w:rFonts w:ascii="Arial" w:hAnsi="Arial" w:cs="Arial"/>
                <w:b/>
                <w:sz w:val="24"/>
                <w:szCs w:val="24"/>
              </w:rPr>
              <w:t xml:space="preserve">Description </w:t>
            </w:r>
          </w:p>
        </w:tc>
      </w:tr>
      <w:tr w:rsidR="009C361F" w:rsidRPr="006A5DDE" w14:paraId="084DF698" w14:textId="77777777" w:rsidTr="009C361F">
        <w:trPr>
          <w:trHeight w:val="691"/>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76CA7B" w14:textId="77777777" w:rsidR="009C361F" w:rsidRPr="006A5DDE" w:rsidRDefault="009C361F" w:rsidP="00D90491">
            <w:pPr>
              <w:ind w:right="5"/>
              <w:jc w:val="center"/>
              <w:rPr>
                <w:rFonts w:ascii="Arial" w:hAnsi="Arial" w:cs="Arial"/>
                <w:sz w:val="24"/>
                <w:szCs w:val="24"/>
              </w:rPr>
            </w:pPr>
            <w:r w:rsidRPr="006A5DDE">
              <w:rPr>
                <w:rFonts w:ascii="Arial" w:hAnsi="Arial" w:cs="Arial"/>
                <w:b/>
                <w:sz w:val="24"/>
                <w:szCs w:val="24"/>
              </w:rPr>
              <w:t xml:space="preserve">Avoid (0) </w:t>
            </w:r>
          </w:p>
        </w:tc>
        <w:tc>
          <w:tcPr>
            <w:tcW w:w="3806" w:type="pct"/>
            <w:tcBorders>
              <w:top w:val="single" w:sz="4" w:space="0" w:color="000000"/>
              <w:left w:val="single" w:sz="4" w:space="0" w:color="000000"/>
              <w:bottom w:val="single" w:sz="4" w:space="0" w:color="000000"/>
              <w:right w:val="single" w:sz="4" w:space="0" w:color="000000"/>
            </w:tcBorders>
          </w:tcPr>
          <w:p w14:paraId="3542959E" w14:textId="45909D98" w:rsidR="009C361F" w:rsidRPr="006A5DDE" w:rsidRDefault="009C361F" w:rsidP="00D90491">
            <w:pPr>
              <w:rPr>
                <w:rFonts w:ascii="Arial" w:hAnsi="Arial" w:cs="Arial"/>
                <w:sz w:val="24"/>
                <w:szCs w:val="24"/>
              </w:rPr>
            </w:pPr>
            <w:r w:rsidRPr="006A5DDE">
              <w:rPr>
                <w:rFonts w:ascii="Arial" w:hAnsi="Arial" w:cs="Arial"/>
                <w:sz w:val="24"/>
                <w:szCs w:val="24"/>
              </w:rPr>
              <w:t xml:space="preserve">The </w:t>
            </w:r>
            <w:r w:rsidR="00071E42" w:rsidRPr="006A5DDE">
              <w:rPr>
                <w:rFonts w:ascii="Arial" w:hAnsi="Arial" w:cs="Arial"/>
                <w:sz w:val="24"/>
                <w:szCs w:val="24"/>
              </w:rPr>
              <w:t>University</w:t>
            </w:r>
            <w:r w:rsidRPr="006A5DDE">
              <w:rPr>
                <w:rFonts w:ascii="Arial" w:hAnsi="Arial" w:cs="Arial"/>
                <w:sz w:val="24"/>
                <w:szCs w:val="24"/>
              </w:rPr>
              <w:t xml:space="preserve"> is not prepared to accept any risks.</w:t>
            </w:r>
            <w:r w:rsidRPr="006A5DDE">
              <w:rPr>
                <w:rFonts w:ascii="Arial" w:eastAsia="Arial" w:hAnsi="Arial" w:cs="Arial"/>
                <w:sz w:val="24"/>
                <w:szCs w:val="24"/>
              </w:rPr>
              <w:t xml:space="preserve"> </w:t>
            </w:r>
          </w:p>
          <w:p w14:paraId="5672AC6F" w14:textId="77777777" w:rsidR="009C361F" w:rsidRPr="006A5DDE" w:rsidRDefault="009C361F" w:rsidP="00D90491">
            <w:pPr>
              <w:rPr>
                <w:rFonts w:ascii="Arial" w:hAnsi="Arial" w:cs="Arial"/>
                <w:sz w:val="24"/>
                <w:szCs w:val="24"/>
              </w:rPr>
            </w:pPr>
            <w:r w:rsidRPr="006A5DDE">
              <w:rPr>
                <w:rFonts w:ascii="Arial" w:eastAsia="Arial" w:hAnsi="Arial" w:cs="Arial"/>
                <w:sz w:val="24"/>
                <w:szCs w:val="24"/>
              </w:rPr>
              <w:t xml:space="preserve"> </w:t>
            </w:r>
          </w:p>
        </w:tc>
      </w:tr>
      <w:tr w:rsidR="009C361F" w:rsidRPr="006A5DDE" w14:paraId="45E3243D" w14:textId="77777777" w:rsidTr="009C361F">
        <w:trPr>
          <w:trHeight w:val="1139"/>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F9D7A6" w14:textId="77777777" w:rsidR="009C361F" w:rsidRPr="006A5DDE" w:rsidRDefault="009C361F" w:rsidP="00D90491">
            <w:pPr>
              <w:ind w:right="4"/>
              <w:jc w:val="center"/>
              <w:rPr>
                <w:rFonts w:ascii="Arial" w:hAnsi="Arial" w:cs="Arial"/>
                <w:sz w:val="24"/>
                <w:szCs w:val="24"/>
              </w:rPr>
            </w:pPr>
            <w:r w:rsidRPr="006A5DDE">
              <w:rPr>
                <w:rFonts w:ascii="Arial" w:hAnsi="Arial" w:cs="Arial"/>
                <w:b/>
                <w:sz w:val="24"/>
                <w:szCs w:val="24"/>
              </w:rPr>
              <w:t xml:space="preserve">Averse (1 – 2) </w:t>
            </w:r>
          </w:p>
        </w:tc>
        <w:tc>
          <w:tcPr>
            <w:tcW w:w="3806" w:type="pct"/>
            <w:tcBorders>
              <w:top w:val="single" w:sz="4" w:space="0" w:color="000000"/>
              <w:left w:val="single" w:sz="4" w:space="0" w:color="000000"/>
              <w:bottom w:val="single" w:sz="4" w:space="0" w:color="000000"/>
              <w:right w:val="single" w:sz="4" w:space="0" w:color="000000"/>
            </w:tcBorders>
          </w:tcPr>
          <w:p w14:paraId="26EF502A" w14:textId="2326FEDE" w:rsidR="009C361F" w:rsidRPr="006A5DDE" w:rsidRDefault="009C361F" w:rsidP="001B7DFC">
            <w:pPr>
              <w:spacing w:line="271" w:lineRule="auto"/>
              <w:rPr>
                <w:rFonts w:ascii="Arial" w:hAnsi="Arial" w:cs="Arial"/>
                <w:sz w:val="24"/>
                <w:szCs w:val="24"/>
              </w:rPr>
            </w:pPr>
            <w:r w:rsidRPr="006A5DDE">
              <w:rPr>
                <w:rFonts w:ascii="Arial" w:hAnsi="Arial" w:cs="Arial"/>
                <w:sz w:val="24"/>
                <w:szCs w:val="24"/>
              </w:rPr>
              <w:t>Prepared to accept only the very lowest levels of risk, with the preference being for very safe decision making and strategy implementation, while recognising there may be little opportunity for innovation or the exploitation of new opportunities.</w:t>
            </w:r>
            <w:r w:rsidRPr="006A5DDE">
              <w:rPr>
                <w:rFonts w:ascii="Arial" w:eastAsia="Arial" w:hAnsi="Arial" w:cs="Arial"/>
                <w:sz w:val="24"/>
                <w:szCs w:val="24"/>
              </w:rPr>
              <w:t xml:space="preserve"> </w:t>
            </w:r>
          </w:p>
        </w:tc>
      </w:tr>
      <w:tr w:rsidR="009C361F" w:rsidRPr="006A5DDE" w14:paraId="3EA14F77" w14:textId="77777777" w:rsidTr="009C361F">
        <w:trPr>
          <w:trHeight w:val="1139"/>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F20EDA" w14:textId="77777777" w:rsidR="009C361F" w:rsidRPr="006A5DDE" w:rsidRDefault="009C361F" w:rsidP="00D90491">
            <w:pPr>
              <w:ind w:right="4"/>
              <w:jc w:val="center"/>
              <w:rPr>
                <w:rFonts w:ascii="Arial" w:hAnsi="Arial" w:cs="Arial"/>
                <w:sz w:val="24"/>
                <w:szCs w:val="24"/>
              </w:rPr>
            </w:pPr>
            <w:r w:rsidRPr="006A5DDE">
              <w:rPr>
                <w:rFonts w:ascii="Arial" w:hAnsi="Arial" w:cs="Arial"/>
                <w:b/>
                <w:sz w:val="24"/>
                <w:szCs w:val="24"/>
              </w:rPr>
              <w:t xml:space="preserve">Cautious (3 – 4) </w:t>
            </w:r>
          </w:p>
        </w:tc>
        <w:tc>
          <w:tcPr>
            <w:tcW w:w="3806" w:type="pct"/>
            <w:tcBorders>
              <w:top w:val="single" w:sz="4" w:space="0" w:color="000000"/>
              <w:left w:val="single" w:sz="4" w:space="0" w:color="000000"/>
              <w:bottom w:val="single" w:sz="4" w:space="0" w:color="000000"/>
              <w:right w:val="single" w:sz="4" w:space="0" w:color="000000"/>
            </w:tcBorders>
          </w:tcPr>
          <w:p w14:paraId="2230A11B" w14:textId="77777777" w:rsidR="009C361F" w:rsidRPr="006A5DDE" w:rsidRDefault="009C361F" w:rsidP="00D90491">
            <w:pPr>
              <w:spacing w:line="269" w:lineRule="auto"/>
              <w:rPr>
                <w:rFonts w:ascii="Arial" w:hAnsi="Arial" w:cs="Arial"/>
                <w:sz w:val="24"/>
                <w:szCs w:val="24"/>
              </w:rPr>
            </w:pPr>
            <w:r w:rsidRPr="006A5DDE">
              <w:rPr>
                <w:rFonts w:ascii="Arial" w:hAnsi="Arial" w:cs="Arial"/>
                <w:sz w:val="24"/>
                <w:szCs w:val="24"/>
              </w:rPr>
              <w:t>Willing to accept some low risks, while maintaining an overall preference for safe decision making and strategy implementation, despite the probability that there is restricted potential for innovation and increased outcomes and benefits.</w:t>
            </w:r>
            <w:r w:rsidRPr="006A5DDE">
              <w:rPr>
                <w:rFonts w:ascii="Arial" w:eastAsia="Arial" w:hAnsi="Arial" w:cs="Arial"/>
                <w:sz w:val="24"/>
                <w:szCs w:val="24"/>
              </w:rPr>
              <w:t xml:space="preserve"> </w:t>
            </w:r>
          </w:p>
        </w:tc>
      </w:tr>
      <w:tr w:rsidR="009C361F" w:rsidRPr="006A5DDE" w14:paraId="47AF43C2" w14:textId="77777777" w:rsidTr="009C361F">
        <w:trPr>
          <w:trHeight w:val="853"/>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26D15" w14:textId="77777777" w:rsidR="009C361F" w:rsidRPr="006A5DDE" w:rsidRDefault="009C361F" w:rsidP="00D90491">
            <w:pPr>
              <w:ind w:left="44"/>
              <w:rPr>
                <w:rFonts w:ascii="Arial" w:hAnsi="Arial" w:cs="Arial"/>
                <w:sz w:val="24"/>
                <w:szCs w:val="24"/>
              </w:rPr>
            </w:pPr>
            <w:r w:rsidRPr="006A5DDE">
              <w:rPr>
                <w:rFonts w:ascii="Arial" w:hAnsi="Arial" w:cs="Arial"/>
                <w:b/>
                <w:sz w:val="24"/>
                <w:szCs w:val="24"/>
              </w:rPr>
              <w:t xml:space="preserve">Moderate (5 – 6) </w:t>
            </w:r>
          </w:p>
        </w:tc>
        <w:tc>
          <w:tcPr>
            <w:tcW w:w="3806" w:type="pct"/>
            <w:tcBorders>
              <w:top w:val="single" w:sz="4" w:space="0" w:color="000000"/>
              <w:left w:val="single" w:sz="4" w:space="0" w:color="000000"/>
              <w:bottom w:val="single" w:sz="4" w:space="0" w:color="000000"/>
              <w:right w:val="single" w:sz="4" w:space="0" w:color="000000"/>
            </w:tcBorders>
          </w:tcPr>
          <w:p w14:paraId="6EE7A4EE" w14:textId="073D5FC6" w:rsidR="009C361F" w:rsidRPr="006A5DDE" w:rsidRDefault="009C361F" w:rsidP="001B7DFC">
            <w:pPr>
              <w:spacing w:line="287" w:lineRule="auto"/>
              <w:rPr>
                <w:rFonts w:ascii="Arial" w:hAnsi="Arial" w:cs="Arial"/>
                <w:sz w:val="24"/>
                <w:szCs w:val="24"/>
              </w:rPr>
            </w:pPr>
            <w:r w:rsidRPr="006A5DDE">
              <w:rPr>
                <w:rFonts w:ascii="Arial" w:hAnsi="Arial" w:cs="Arial"/>
                <w:sz w:val="24"/>
                <w:szCs w:val="24"/>
              </w:rPr>
              <w:t>Inclining predominantly towards exposure to only modest levels of risk in order to achieve acceptable, but possib</w:t>
            </w:r>
            <w:r w:rsidR="001B7DFC" w:rsidRPr="006A5DDE">
              <w:rPr>
                <w:rFonts w:ascii="Arial" w:hAnsi="Arial" w:cs="Arial"/>
                <w:sz w:val="24"/>
                <w:szCs w:val="24"/>
              </w:rPr>
              <w:t>ly</w:t>
            </w:r>
            <w:r w:rsidRPr="006A5DDE">
              <w:rPr>
                <w:rFonts w:ascii="Arial" w:hAnsi="Arial" w:cs="Arial"/>
                <w:sz w:val="24"/>
                <w:szCs w:val="24"/>
              </w:rPr>
              <w:t xml:space="preserve"> unambitious outcomes or benefits.</w:t>
            </w:r>
            <w:r w:rsidRPr="006A5DDE">
              <w:rPr>
                <w:rFonts w:ascii="Arial" w:eastAsia="Arial" w:hAnsi="Arial" w:cs="Arial"/>
                <w:sz w:val="24"/>
                <w:szCs w:val="24"/>
              </w:rPr>
              <w:t xml:space="preserve"> </w:t>
            </w:r>
          </w:p>
        </w:tc>
      </w:tr>
      <w:tr w:rsidR="009C361F" w:rsidRPr="006A5DDE" w14:paraId="08E262C9" w14:textId="77777777" w:rsidTr="001B7DFC">
        <w:trPr>
          <w:trHeight w:val="754"/>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C748B6" w14:textId="77777777" w:rsidR="009C361F" w:rsidRPr="006A5DDE" w:rsidRDefault="009C361F" w:rsidP="00D90491">
            <w:pPr>
              <w:ind w:right="4"/>
              <w:jc w:val="center"/>
              <w:rPr>
                <w:rFonts w:ascii="Arial" w:hAnsi="Arial" w:cs="Arial"/>
                <w:sz w:val="24"/>
                <w:szCs w:val="24"/>
              </w:rPr>
            </w:pPr>
            <w:r w:rsidRPr="006A5DDE">
              <w:rPr>
                <w:rFonts w:ascii="Arial" w:hAnsi="Arial" w:cs="Arial"/>
                <w:b/>
                <w:sz w:val="24"/>
                <w:szCs w:val="24"/>
              </w:rPr>
              <w:t xml:space="preserve">Open (7 – 8) </w:t>
            </w:r>
          </w:p>
        </w:tc>
        <w:tc>
          <w:tcPr>
            <w:tcW w:w="3806" w:type="pct"/>
            <w:tcBorders>
              <w:top w:val="single" w:sz="4" w:space="0" w:color="000000"/>
              <w:left w:val="single" w:sz="4" w:space="0" w:color="000000"/>
              <w:bottom w:val="single" w:sz="4" w:space="0" w:color="000000"/>
              <w:right w:val="single" w:sz="4" w:space="0" w:color="000000"/>
            </w:tcBorders>
          </w:tcPr>
          <w:p w14:paraId="1237FC9A" w14:textId="1774D0FD" w:rsidR="009C361F" w:rsidRPr="006A5DDE" w:rsidRDefault="009C361F" w:rsidP="001B7DFC">
            <w:pPr>
              <w:spacing w:line="269" w:lineRule="auto"/>
              <w:rPr>
                <w:rFonts w:ascii="Arial" w:hAnsi="Arial" w:cs="Arial"/>
                <w:sz w:val="24"/>
                <w:szCs w:val="24"/>
              </w:rPr>
            </w:pPr>
            <w:r w:rsidRPr="006A5DDE">
              <w:rPr>
                <w:rFonts w:ascii="Arial" w:hAnsi="Arial" w:cs="Arial"/>
                <w:sz w:val="24"/>
                <w:szCs w:val="24"/>
              </w:rPr>
              <w:t>Prepared to consider innovative decisions and strategic implementation with the highest probability of productive outcomes and benefits, even where there are elevated levels of associated risk.</w:t>
            </w:r>
          </w:p>
        </w:tc>
      </w:tr>
      <w:tr w:rsidR="009C361F" w:rsidRPr="006A5DDE" w14:paraId="02FD1442" w14:textId="77777777" w:rsidTr="009C361F">
        <w:trPr>
          <w:trHeight w:val="1139"/>
        </w:trPr>
        <w:tc>
          <w:tcPr>
            <w:tcW w:w="11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F46D64" w14:textId="77777777" w:rsidR="009C361F" w:rsidRPr="006A5DDE" w:rsidRDefault="009C361F" w:rsidP="00D90491">
            <w:pPr>
              <w:ind w:right="4"/>
              <w:jc w:val="center"/>
              <w:rPr>
                <w:rFonts w:ascii="Arial" w:hAnsi="Arial" w:cs="Arial"/>
                <w:sz w:val="24"/>
                <w:szCs w:val="24"/>
              </w:rPr>
            </w:pPr>
            <w:r w:rsidRPr="006A5DDE">
              <w:rPr>
                <w:rFonts w:ascii="Arial" w:hAnsi="Arial" w:cs="Arial"/>
                <w:b/>
                <w:sz w:val="24"/>
                <w:szCs w:val="24"/>
              </w:rPr>
              <w:t xml:space="preserve">Hungry (9 – 10) </w:t>
            </w:r>
          </w:p>
        </w:tc>
        <w:tc>
          <w:tcPr>
            <w:tcW w:w="3806" w:type="pct"/>
            <w:tcBorders>
              <w:top w:val="single" w:sz="4" w:space="0" w:color="000000"/>
              <w:left w:val="single" w:sz="4" w:space="0" w:color="000000"/>
              <w:bottom w:val="single" w:sz="4" w:space="0" w:color="000000"/>
              <w:right w:val="single" w:sz="4" w:space="0" w:color="000000"/>
            </w:tcBorders>
          </w:tcPr>
          <w:p w14:paraId="49E5766D" w14:textId="127A89A6" w:rsidR="009C361F" w:rsidRPr="006A5DDE" w:rsidRDefault="009C361F" w:rsidP="001B7DFC">
            <w:pPr>
              <w:spacing w:line="270" w:lineRule="auto"/>
              <w:rPr>
                <w:rFonts w:ascii="Arial" w:hAnsi="Arial" w:cs="Arial"/>
                <w:sz w:val="24"/>
                <w:szCs w:val="24"/>
              </w:rPr>
            </w:pPr>
            <w:r w:rsidRPr="006A5DDE">
              <w:rPr>
                <w:rFonts w:ascii="Arial" w:hAnsi="Arial" w:cs="Arial"/>
                <w:sz w:val="24"/>
                <w:szCs w:val="24"/>
              </w:rPr>
              <w:t>Proactively taking innovative / creative / pioneering decisions and adopting forms of strategic implementation, while accepting the associated substantial risk levels in order to secure highly successful outcomes and benefits.</w:t>
            </w:r>
            <w:r w:rsidRPr="006A5DDE">
              <w:rPr>
                <w:rFonts w:ascii="Arial" w:eastAsia="Arial" w:hAnsi="Arial" w:cs="Arial"/>
                <w:sz w:val="24"/>
                <w:szCs w:val="24"/>
              </w:rPr>
              <w:t xml:space="preserve"> </w:t>
            </w:r>
          </w:p>
        </w:tc>
      </w:tr>
    </w:tbl>
    <w:p w14:paraId="6DE964D8" w14:textId="77777777" w:rsidR="00A85837" w:rsidRPr="006A5DDE" w:rsidRDefault="00A85837">
      <w:pPr>
        <w:rPr>
          <w:rFonts w:ascii="Arial" w:hAnsi="Arial" w:cs="Arial"/>
          <w:szCs w:val="24"/>
        </w:rPr>
      </w:pPr>
    </w:p>
    <w:sectPr w:rsidR="00A85837" w:rsidRPr="006A5DDE">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838F" w14:textId="77777777" w:rsidR="003004BD" w:rsidRDefault="003004BD" w:rsidP="005022C7">
      <w:pPr>
        <w:spacing w:line="240" w:lineRule="auto"/>
      </w:pPr>
      <w:r>
        <w:separator/>
      </w:r>
    </w:p>
  </w:endnote>
  <w:endnote w:type="continuationSeparator" w:id="0">
    <w:p w14:paraId="6B569285" w14:textId="77777777" w:rsidR="003004BD" w:rsidRDefault="003004BD" w:rsidP="005022C7">
      <w:pPr>
        <w:spacing w:line="240" w:lineRule="auto"/>
      </w:pPr>
      <w:r>
        <w:continuationSeparator/>
      </w:r>
    </w:p>
  </w:endnote>
  <w:endnote w:type="continuationNotice" w:id="1">
    <w:p w14:paraId="772563F5" w14:textId="77777777" w:rsidR="003004BD" w:rsidRDefault="00300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22CB" w14:textId="20A6E1E1" w:rsidR="00B077C3" w:rsidRPr="00071E42" w:rsidRDefault="00B077C3" w:rsidP="00B077C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5060" w14:textId="77777777" w:rsidR="003004BD" w:rsidRDefault="003004BD" w:rsidP="005022C7">
      <w:pPr>
        <w:spacing w:line="240" w:lineRule="auto"/>
      </w:pPr>
      <w:r>
        <w:separator/>
      </w:r>
    </w:p>
  </w:footnote>
  <w:footnote w:type="continuationSeparator" w:id="0">
    <w:p w14:paraId="5AB8DF61" w14:textId="77777777" w:rsidR="003004BD" w:rsidRDefault="003004BD" w:rsidP="005022C7">
      <w:pPr>
        <w:spacing w:line="240" w:lineRule="auto"/>
      </w:pPr>
      <w:r>
        <w:continuationSeparator/>
      </w:r>
    </w:p>
  </w:footnote>
  <w:footnote w:type="continuationNotice" w:id="1">
    <w:p w14:paraId="21D18D26" w14:textId="77777777" w:rsidR="003004BD" w:rsidRDefault="003004BD">
      <w:pPr>
        <w:spacing w:line="240" w:lineRule="auto"/>
      </w:pPr>
    </w:p>
  </w:footnote>
  <w:footnote w:id="2">
    <w:p w14:paraId="73E029C6" w14:textId="77777777" w:rsidR="00732504" w:rsidRPr="00732504" w:rsidRDefault="00732504" w:rsidP="00732504">
      <w:pPr>
        <w:pStyle w:val="FootnoteText"/>
        <w:rPr>
          <w:rFonts w:ascii="Arial" w:hAnsi="Arial" w:cs="Arial"/>
          <w:sz w:val="16"/>
          <w:szCs w:val="16"/>
        </w:rPr>
      </w:pPr>
      <w:r w:rsidRPr="00732504">
        <w:rPr>
          <w:rStyle w:val="FootnoteReference"/>
          <w:rFonts w:ascii="Arial" w:hAnsi="Arial" w:cs="Arial"/>
          <w:sz w:val="16"/>
          <w:szCs w:val="16"/>
        </w:rPr>
        <w:footnoteRef/>
      </w:r>
      <w:r w:rsidRPr="00732504">
        <w:rPr>
          <w:rFonts w:ascii="Arial" w:hAnsi="Arial" w:cs="Arial"/>
          <w:sz w:val="16"/>
          <w:szCs w:val="16"/>
        </w:rPr>
        <w:t xml:space="preserve"> Price Waterhouse Coopers (2014) </w:t>
      </w:r>
      <w:r w:rsidRPr="00732504">
        <w:rPr>
          <w:rFonts w:ascii="Arial" w:hAnsi="Arial" w:cs="Arial"/>
          <w:i/>
          <w:sz w:val="16"/>
          <w:szCs w:val="16"/>
        </w:rPr>
        <w:t>Board oversight of risk: Defining risk appetite in plain English</w:t>
      </w:r>
      <w:r w:rsidRPr="00732504">
        <w:rPr>
          <w:rFonts w:ascii="Arial" w:hAnsi="Arial" w:cs="Arial"/>
          <w:sz w:val="16"/>
          <w:szCs w:val="16"/>
        </w:rPr>
        <w:t>. p3.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E260" w14:textId="588E9249" w:rsidR="007E28D8" w:rsidRDefault="007E28D8">
    <w:pPr>
      <w:pStyle w:val="Header"/>
    </w:pPr>
    <w:r>
      <w:rPr>
        <w:noProof/>
      </w:rPr>
      <mc:AlternateContent>
        <mc:Choice Requires="wps">
          <w:drawing>
            <wp:anchor distT="0" distB="0" distL="0" distR="0" simplePos="0" relativeHeight="251658241" behindDoc="0" locked="0" layoutInCell="1" allowOverlap="1" wp14:anchorId="708ED52E" wp14:editId="47C34E5A">
              <wp:simplePos x="635" y="635"/>
              <wp:positionH relativeFrom="page">
                <wp:align>center</wp:align>
              </wp:positionH>
              <wp:positionV relativeFrom="page">
                <wp:align>top</wp:align>
              </wp:positionV>
              <wp:extent cx="443865" cy="443865"/>
              <wp:effectExtent l="0" t="0" r="9525" b="0"/>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D9380" w14:textId="0D105CC3" w:rsidR="007E28D8" w:rsidRPr="007E28D8" w:rsidRDefault="007E28D8" w:rsidP="007E28D8">
                          <w:pPr>
                            <w:rPr>
                              <w:rFonts w:ascii="Calibri" w:eastAsia="Calibri" w:hAnsi="Calibri" w:cs="Calibri"/>
                              <w:noProof/>
                              <w:color w:val="000000"/>
                              <w:szCs w:val="24"/>
                            </w:rPr>
                          </w:pPr>
                          <w:r w:rsidRPr="007E28D8">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ED52E"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FD9380" w14:textId="0D105CC3" w:rsidR="007E28D8" w:rsidRPr="007E28D8" w:rsidRDefault="007E28D8" w:rsidP="007E28D8">
                    <w:pPr>
                      <w:rPr>
                        <w:rFonts w:ascii="Calibri" w:eastAsia="Calibri" w:hAnsi="Calibri" w:cs="Calibri"/>
                        <w:noProof/>
                        <w:color w:val="000000"/>
                        <w:szCs w:val="24"/>
                      </w:rPr>
                    </w:pPr>
                    <w:r w:rsidRPr="007E28D8">
                      <w:rPr>
                        <w:rFonts w:ascii="Calibri" w:eastAsia="Calibri" w:hAnsi="Calibri" w:cs="Calibri"/>
                        <w:noProof/>
                        <w:color w:val="000000"/>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068A" w14:textId="46656F12" w:rsidR="00C06B41" w:rsidRPr="00D904A6" w:rsidRDefault="00C06B41">
    <w:pPr>
      <w:pStyle w:val="Header"/>
      <w:rPr>
        <w:sz w:val="24"/>
        <w:szCs w:val="24"/>
      </w:rPr>
    </w:pPr>
    <w:r w:rsidRPr="00D904A6">
      <w:rPr>
        <w:sz w:val="24"/>
        <w:szCs w:val="24"/>
      </w:rPr>
      <w:t>Risk Management Policy – Annex 1</w:t>
    </w:r>
  </w:p>
  <w:p w14:paraId="566B6485" w14:textId="77777777" w:rsidR="00CB3869" w:rsidRDefault="00CB3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A06B" w14:textId="7637C494" w:rsidR="005022C7" w:rsidRPr="001C063A" w:rsidRDefault="007E28D8">
    <w:pPr>
      <w:pStyle w:val="Header"/>
      <w:rPr>
        <w:b/>
        <w:sz w:val="36"/>
        <w:szCs w:val="36"/>
      </w:rPr>
    </w:pPr>
    <w:r>
      <w:rPr>
        <w:noProof/>
      </w:rPr>
      <mc:AlternateContent>
        <mc:Choice Requires="wps">
          <w:drawing>
            <wp:anchor distT="0" distB="0" distL="0" distR="0" simplePos="0" relativeHeight="251658240" behindDoc="0" locked="0" layoutInCell="1" allowOverlap="1" wp14:anchorId="547D61E4" wp14:editId="7CCD336D">
              <wp:simplePos x="635" y="635"/>
              <wp:positionH relativeFrom="page">
                <wp:align>center</wp:align>
              </wp:positionH>
              <wp:positionV relativeFrom="page">
                <wp:align>top</wp:align>
              </wp:positionV>
              <wp:extent cx="443865" cy="443865"/>
              <wp:effectExtent l="0" t="0" r="9525" b="0"/>
              <wp:wrapNone/>
              <wp:docPr id="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26906" w14:textId="0813DB35" w:rsidR="007E28D8" w:rsidRPr="007E28D8" w:rsidRDefault="007E28D8" w:rsidP="007E28D8">
                          <w:pPr>
                            <w:rPr>
                              <w:rFonts w:ascii="Calibri" w:eastAsia="Calibri" w:hAnsi="Calibri" w:cs="Calibri"/>
                              <w:noProof/>
                              <w:color w:val="000000"/>
                              <w:szCs w:val="24"/>
                            </w:rPr>
                          </w:pPr>
                          <w:r w:rsidRPr="007E28D8">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D61E4" id="_x0000_t202" coordsize="21600,21600" o:spt="202" path="m,l,21600r21600,l21600,xe">
              <v:stroke joinstyle="miter"/>
              <v:path gradientshapeok="t" o:connecttype="rect"/>
            </v:shapetype>
            <v:shape id="Text Box 2" o:spid="_x0000_s1027"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D26906" w14:textId="0813DB35" w:rsidR="007E28D8" w:rsidRPr="007E28D8" w:rsidRDefault="007E28D8" w:rsidP="007E28D8">
                    <w:pPr>
                      <w:rPr>
                        <w:rFonts w:ascii="Calibri" w:eastAsia="Calibri" w:hAnsi="Calibri" w:cs="Calibri"/>
                        <w:noProof/>
                        <w:color w:val="000000"/>
                        <w:szCs w:val="24"/>
                      </w:rPr>
                    </w:pPr>
                    <w:r w:rsidRPr="007E28D8">
                      <w:rPr>
                        <w:rFonts w:ascii="Calibri" w:eastAsia="Calibri" w:hAnsi="Calibri" w:cs="Calibri"/>
                        <w:noProof/>
                        <w:color w:val="000000"/>
                        <w:szCs w:val="24"/>
                      </w:rPr>
                      <w:t>Restricted - Other</w:t>
                    </w:r>
                  </w:p>
                </w:txbxContent>
              </v:textbox>
              <w10:wrap anchorx="page" anchory="page"/>
            </v:shape>
          </w:pict>
        </mc:Fallback>
      </mc:AlternateContent>
    </w:r>
    <w:r w:rsidR="005022C7">
      <w:ptab w:relativeTo="margin" w:alignment="right" w:leader="none"/>
    </w:r>
  </w:p>
  <w:p w14:paraId="10F533F1" w14:textId="77777777" w:rsidR="005022C7" w:rsidRDefault="00502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D0C95"/>
    <w:multiLevelType w:val="hybridMultilevel"/>
    <w:tmpl w:val="F0D013B8"/>
    <w:lvl w:ilvl="0" w:tplc="08090019">
      <w:start w:val="1"/>
      <w:numFmt w:val="lowerLetter"/>
      <w:lvlText w:val="%1."/>
      <w:lvlJc w:val="left"/>
      <w:pPr>
        <w:ind w:left="1068" w:hanging="360"/>
      </w:pPr>
      <w:rPr>
        <w:rFonts w:hint="default"/>
      </w:rPr>
    </w:lvl>
    <w:lvl w:ilvl="1" w:tplc="08090019">
      <w:start w:val="1"/>
      <w:numFmt w:val="lowerLetter"/>
      <w:lvlText w:val="%2."/>
      <w:lvlJc w:val="left"/>
      <w:pPr>
        <w:ind w:left="1788" w:hanging="360"/>
      </w:pPr>
      <w:rPr>
        <w:rFonts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04705F8A"/>
    <w:multiLevelType w:val="multilevel"/>
    <w:tmpl w:val="28302748"/>
    <w:lvl w:ilvl="0">
      <w:start w:val="1"/>
      <w:numFmt w:val="decimal"/>
      <w:lvlText w:val="%1"/>
      <w:lvlJc w:val="left"/>
      <w:pPr>
        <w:tabs>
          <w:tab w:val="num" w:pos="708"/>
        </w:tabs>
        <w:ind w:left="708" w:hanging="708"/>
      </w:pPr>
      <w:rPr>
        <w:b/>
        <w:i w:val="0"/>
        <w:sz w:val="20"/>
        <w:szCs w:val="20"/>
      </w:rPr>
    </w:lvl>
    <w:lvl w:ilvl="1">
      <w:start w:val="1"/>
      <w:numFmt w:val="decimal"/>
      <w:lvlText w:val="%1.%2"/>
      <w:lvlJc w:val="left"/>
      <w:pPr>
        <w:tabs>
          <w:tab w:val="num" w:pos="0"/>
        </w:tabs>
        <w:ind w:left="1416" w:hanging="708"/>
      </w:pPr>
      <w:rPr>
        <w:b w: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3" w15:restartNumberingAfterBreak="0">
    <w:nsid w:val="0CE969D0"/>
    <w:multiLevelType w:val="hybridMultilevel"/>
    <w:tmpl w:val="F0D013B8"/>
    <w:lvl w:ilvl="0" w:tplc="08090019">
      <w:start w:val="1"/>
      <w:numFmt w:val="lowerLetter"/>
      <w:lvlText w:val="%1."/>
      <w:lvlJc w:val="left"/>
      <w:pPr>
        <w:ind w:left="1068" w:hanging="360"/>
      </w:pPr>
      <w:rPr>
        <w:rFonts w:hint="default"/>
      </w:rPr>
    </w:lvl>
    <w:lvl w:ilvl="1" w:tplc="08090019">
      <w:start w:val="1"/>
      <w:numFmt w:val="lowerLetter"/>
      <w:lvlText w:val="%2."/>
      <w:lvlJc w:val="left"/>
      <w:pPr>
        <w:ind w:left="1788" w:hanging="360"/>
      </w:pPr>
      <w:rPr>
        <w:rFonts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0EDB2B0A"/>
    <w:multiLevelType w:val="hybridMultilevel"/>
    <w:tmpl w:val="D5BE77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22248"/>
    <w:multiLevelType w:val="hybridMultilevel"/>
    <w:tmpl w:val="C0AAB03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BCC59B7"/>
    <w:multiLevelType w:val="hybridMultilevel"/>
    <w:tmpl w:val="F54A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3516C"/>
    <w:multiLevelType w:val="hybridMultilevel"/>
    <w:tmpl w:val="C880621C"/>
    <w:lvl w:ilvl="0" w:tplc="53DA38EE">
      <w:start w:val="1"/>
      <w:numFmt w:val="lowerRoman"/>
      <w:lvlText w:val="%1."/>
      <w:lvlJc w:val="righ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E2687"/>
    <w:multiLevelType w:val="hybridMultilevel"/>
    <w:tmpl w:val="F21A99CE"/>
    <w:lvl w:ilvl="0" w:tplc="08090019">
      <w:start w:val="1"/>
      <w:numFmt w:val="lowerLetter"/>
      <w:lvlText w:val="%1."/>
      <w:lvlJc w:val="left"/>
      <w:pPr>
        <w:ind w:left="1068" w:hanging="360"/>
      </w:pPr>
      <w:rPr>
        <w:rFonts w:hint="default"/>
      </w:rPr>
    </w:lvl>
    <w:lvl w:ilvl="1" w:tplc="08090019">
      <w:start w:val="1"/>
      <w:numFmt w:val="lowerLetter"/>
      <w:lvlText w:val="%2."/>
      <w:lvlJc w:val="left"/>
      <w:pPr>
        <w:ind w:left="1788" w:hanging="360"/>
      </w:pPr>
      <w:rPr>
        <w:rFonts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52710AAF"/>
    <w:multiLevelType w:val="hybridMultilevel"/>
    <w:tmpl w:val="2D1838A0"/>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5D874929"/>
    <w:multiLevelType w:val="hybridMultilevel"/>
    <w:tmpl w:val="FAF65E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67D107AD"/>
    <w:multiLevelType w:val="hybridMultilevel"/>
    <w:tmpl w:val="AB683420"/>
    <w:lvl w:ilvl="0" w:tplc="08090019">
      <w:start w:val="1"/>
      <w:numFmt w:val="lowerLetter"/>
      <w:lvlText w:val="%1."/>
      <w:lvlJc w:val="left"/>
      <w:pPr>
        <w:ind w:left="720" w:hanging="360"/>
      </w:pPr>
    </w:lvl>
    <w:lvl w:ilvl="1" w:tplc="3C1A0B1E">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FC737C"/>
    <w:multiLevelType w:val="hybridMultilevel"/>
    <w:tmpl w:val="760669B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72092647"/>
    <w:multiLevelType w:val="hybridMultilevel"/>
    <w:tmpl w:val="798081C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267080330">
    <w:abstractNumId w:val="2"/>
  </w:num>
  <w:num w:numId="2" w16cid:durableId="1855225596">
    <w:abstractNumId w:val="0"/>
  </w:num>
  <w:num w:numId="3" w16cid:durableId="2016692024">
    <w:abstractNumId w:val="5"/>
  </w:num>
  <w:num w:numId="4" w16cid:durableId="1531718167">
    <w:abstractNumId w:val="12"/>
  </w:num>
  <w:num w:numId="5" w16cid:durableId="832338260">
    <w:abstractNumId w:val="10"/>
  </w:num>
  <w:num w:numId="6" w16cid:durableId="1981377392">
    <w:abstractNumId w:val="13"/>
  </w:num>
  <w:num w:numId="7" w16cid:durableId="538127396">
    <w:abstractNumId w:val="1"/>
  </w:num>
  <w:num w:numId="8" w16cid:durableId="1416395478">
    <w:abstractNumId w:val="3"/>
  </w:num>
  <w:num w:numId="9" w16cid:durableId="1605267471">
    <w:abstractNumId w:val="9"/>
  </w:num>
  <w:num w:numId="10" w16cid:durableId="1232621629">
    <w:abstractNumId w:val="11"/>
  </w:num>
  <w:num w:numId="11" w16cid:durableId="304166396">
    <w:abstractNumId w:val="8"/>
  </w:num>
  <w:num w:numId="12" w16cid:durableId="1774351586">
    <w:abstractNumId w:val="7"/>
  </w:num>
  <w:num w:numId="13" w16cid:durableId="2077318654">
    <w:abstractNumId w:val="4"/>
  </w:num>
  <w:num w:numId="14" w16cid:durableId="2001617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C7"/>
    <w:rsid w:val="00011599"/>
    <w:rsid w:val="000336EA"/>
    <w:rsid w:val="00040917"/>
    <w:rsid w:val="0006663B"/>
    <w:rsid w:val="00071E42"/>
    <w:rsid w:val="00082B97"/>
    <w:rsid w:val="00090ADF"/>
    <w:rsid w:val="000927D7"/>
    <w:rsid w:val="000A3B75"/>
    <w:rsid w:val="000C6AA1"/>
    <w:rsid w:val="000D4E46"/>
    <w:rsid w:val="000E0314"/>
    <w:rsid w:val="001268AB"/>
    <w:rsid w:val="00131819"/>
    <w:rsid w:val="0015468C"/>
    <w:rsid w:val="00174A0E"/>
    <w:rsid w:val="00192256"/>
    <w:rsid w:val="001B7C59"/>
    <w:rsid w:val="001B7DFC"/>
    <w:rsid w:val="001D2CED"/>
    <w:rsid w:val="001D5867"/>
    <w:rsid w:val="002059E3"/>
    <w:rsid w:val="0023059C"/>
    <w:rsid w:val="00257DD4"/>
    <w:rsid w:val="00262207"/>
    <w:rsid w:val="002716B6"/>
    <w:rsid w:val="00272235"/>
    <w:rsid w:val="002807F6"/>
    <w:rsid w:val="00280914"/>
    <w:rsid w:val="002860F5"/>
    <w:rsid w:val="002B4A7C"/>
    <w:rsid w:val="002C5EE6"/>
    <w:rsid w:val="002F03FD"/>
    <w:rsid w:val="003004BD"/>
    <w:rsid w:val="00313B98"/>
    <w:rsid w:val="003241E0"/>
    <w:rsid w:val="003271EE"/>
    <w:rsid w:val="00327948"/>
    <w:rsid w:val="00331EEB"/>
    <w:rsid w:val="003563E3"/>
    <w:rsid w:val="00394494"/>
    <w:rsid w:val="003D015C"/>
    <w:rsid w:val="003E35DC"/>
    <w:rsid w:val="003E458D"/>
    <w:rsid w:val="003E7EBD"/>
    <w:rsid w:val="003F05AB"/>
    <w:rsid w:val="00406A99"/>
    <w:rsid w:val="0043357C"/>
    <w:rsid w:val="00465BAA"/>
    <w:rsid w:val="004928C4"/>
    <w:rsid w:val="00493A49"/>
    <w:rsid w:val="004A0E9A"/>
    <w:rsid w:val="004D3D84"/>
    <w:rsid w:val="004E264C"/>
    <w:rsid w:val="005022C7"/>
    <w:rsid w:val="005078D2"/>
    <w:rsid w:val="005110FE"/>
    <w:rsid w:val="005360D2"/>
    <w:rsid w:val="00541DF5"/>
    <w:rsid w:val="00546383"/>
    <w:rsid w:val="0056545F"/>
    <w:rsid w:val="005A0112"/>
    <w:rsid w:val="005A1268"/>
    <w:rsid w:val="005A1D58"/>
    <w:rsid w:val="005A46A1"/>
    <w:rsid w:val="005C0F60"/>
    <w:rsid w:val="005D7800"/>
    <w:rsid w:val="0060042F"/>
    <w:rsid w:val="006052E9"/>
    <w:rsid w:val="00627170"/>
    <w:rsid w:val="00652B6E"/>
    <w:rsid w:val="0065364E"/>
    <w:rsid w:val="00684177"/>
    <w:rsid w:val="006913B0"/>
    <w:rsid w:val="006A2CEB"/>
    <w:rsid w:val="006A5DDE"/>
    <w:rsid w:val="006B2298"/>
    <w:rsid w:val="006C7FA9"/>
    <w:rsid w:val="006E427B"/>
    <w:rsid w:val="006E6FC3"/>
    <w:rsid w:val="00714C4E"/>
    <w:rsid w:val="00723382"/>
    <w:rsid w:val="00732504"/>
    <w:rsid w:val="00744287"/>
    <w:rsid w:val="00745C38"/>
    <w:rsid w:val="00746D90"/>
    <w:rsid w:val="007602C4"/>
    <w:rsid w:val="007667F0"/>
    <w:rsid w:val="00772E1B"/>
    <w:rsid w:val="00796B27"/>
    <w:rsid w:val="007A6C02"/>
    <w:rsid w:val="007C1CAF"/>
    <w:rsid w:val="007E28D8"/>
    <w:rsid w:val="00807E5E"/>
    <w:rsid w:val="008220AB"/>
    <w:rsid w:val="008631E5"/>
    <w:rsid w:val="008823BA"/>
    <w:rsid w:val="008B7576"/>
    <w:rsid w:val="008C7E6E"/>
    <w:rsid w:val="008D34BB"/>
    <w:rsid w:val="008D53E8"/>
    <w:rsid w:val="00904BC9"/>
    <w:rsid w:val="00913DCA"/>
    <w:rsid w:val="00931083"/>
    <w:rsid w:val="00932492"/>
    <w:rsid w:val="00933482"/>
    <w:rsid w:val="009761DE"/>
    <w:rsid w:val="009A3429"/>
    <w:rsid w:val="009C361F"/>
    <w:rsid w:val="00A13D85"/>
    <w:rsid w:val="00A2276A"/>
    <w:rsid w:val="00A30077"/>
    <w:rsid w:val="00A41EE9"/>
    <w:rsid w:val="00A501DA"/>
    <w:rsid w:val="00A85837"/>
    <w:rsid w:val="00A92713"/>
    <w:rsid w:val="00A931AA"/>
    <w:rsid w:val="00AA06E0"/>
    <w:rsid w:val="00AB5506"/>
    <w:rsid w:val="00AE0ED1"/>
    <w:rsid w:val="00B077C3"/>
    <w:rsid w:val="00B4227D"/>
    <w:rsid w:val="00B42507"/>
    <w:rsid w:val="00B56044"/>
    <w:rsid w:val="00BA2615"/>
    <w:rsid w:val="00BB1CB4"/>
    <w:rsid w:val="00BC1E52"/>
    <w:rsid w:val="00C06B41"/>
    <w:rsid w:val="00C34EC6"/>
    <w:rsid w:val="00C36118"/>
    <w:rsid w:val="00C56148"/>
    <w:rsid w:val="00C802A8"/>
    <w:rsid w:val="00CA5780"/>
    <w:rsid w:val="00CB06B0"/>
    <w:rsid w:val="00CB3869"/>
    <w:rsid w:val="00D03558"/>
    <w:rsid w:val="00D23DAF"/>
    <w:rsid w:val="00D37210"/>
    <w:rsid w:val="00D46F89"/>
    <w:rsid w:val="00D52739"/>
    <w:rsid w:val="00D607FC"/>
    <w:rsid w:val="00D61CB8"/>
    <w:rsid w:val="00D64D05"/>
    <w:rsid w:val="00D71683"/>
    <w:rsid w:val="00D904A6"/>
    <w:rsid w:val="00DC58DC"/>
    <w:rsid w:val="00DE7DB7"/>
    <w:rsid w:val="00DF5E88"/>
    <w:rsid w:val="00E01567"/>
    <w:rsid w:val="00E04144"/>
    <w:rsid w:val="00E53D52"/>
    <w:rsid w:val="00EA318B"/>
    <w:rsid w:val="00EA66DD"/>
    <w:rsid w:val="00EC5547"/>
    <w:rsid w:val="00EF3951"/>
    <w:rsid w:val="00F018DD"/>
    <w:rsid w:val="00F021E0"/>
    <w:rsid w:val="00F42DFC"/>
    <w:rsid w:val="00F51B35"/>
    <w:rsid w:val="00F614DC"/>
    <w:rsid w:val="00FA3BB9"/>
    <w:rsid w:val="00FA4BA1"/>
    <w:rsid w:val="00FB50C7"/>
    <w:rsid w:val="00FD02F9"/>
    <w:rsid w:val="00FE5273"/>
    <w:rsid w:val="00FF3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35180"/>
  <w15:docId w15:val="{C484C9A1-0349-4A44-8464-F90B30BD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1AA"/>
    <w:pPr>
      <w:keepNext/>
      <w:keepLines/>
      <w:spacing w:before="240" w:line="259" w:lineRule="auto"/>
      <w:outlineLvl w:val="0"/>
    </w:pPr>
    <w:rPr>
      <w:rFonts w:ascii="Arial" w:eastAsiaTheme="majorEastAsia" w:hAnsi="Arial" w:cstheme="majorBidi"/>
      <w:sz w:val="48"/>
      <w:szCs w:val="32"/>
    </w:rPr>
  </w:style>
  <w:style w:type="paragraph" w:styleId="Heading2">
    <w:name w:val="heading 2"/>
    <w:basedOn w:val="Normal"/>
    <w:next w:val="Normal"/>
    <w:link w:val="Heading2Char"/>
    <w:uiPriority w:val="9"/>
    <w:unhideWhenUsed/>
    <w:qFormat/>
    <w:rsid w:val="00DE7DB7"/>
    <w:pPr>
      <w:keepNext/>
      <w:keepLines/>
      <w:spacing w:before="40" w:line="259" w:lineRule="auto"/>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2C7"/>
    <w:pPr>
      <w:spacing w:line="240" w:lineRule="auto"/>
    </w:pPr>
    <w:rPr>
      <w:sz w:val="20"/>
      <w:szCs w:val="20"/>
    </w:rPr>
  </w:style>
  <w:style w:type="character" w:customStyle="1" w:styleId="FootnoteTextChar">
    <w:name w:val="Footnote Text Char"/>
    <w:basedOn w:val="DefaultParagraphFont"/>
    <w:link w:val="FootnoteText"/>
    <w:uiPriority w:val="99"/>
    <w:semiHidden/>
    <w:rsid w:val="005022C7"/>
    <w:rPr>
      <w:sz w:val="20"/>
      <w:szCs w:val="20"/>
    </w:rPr>
  </w:style>
  <w:style w:type="character" w:styleId="FootnoteReference">
    <w:name w:val="footnote reference"/>
    <w:uiPriority w:val="99"/>
    <w:rsid w:val="005022C7"/>
    <w:rPr>
      <w:vertAlign w:val="superscript"/>
    </w:rPr>
  </w:style>
  <w:style w:type="paragraph" w:styleId="Header">
    <w:name w:val="header"/>
    <w:basedOn w:val="Normal"/>
    <w:link w:val="HeaderChar"/>
    <w:uiPriority w:val="99"/>
    <w:rsid w:val="005022C7"/>
    <w:pPr>
      <w:widowControl w:val="0"/>
      <w:tabs>
        <w:tab w:val="center" w:pos="4513"/>
        <w:tab w:val="right" w:pos="9026"/>
      </w:tabs>
      <w:autoSpaceDE w:val="0"/>
      <w:autoSpaceDN w:val="0"/>
      <w:adjustRightInd w:val="0"/>
      <w:spacing w:line="240" w:lineRule="auto"/>
    </w:pPr>
    <w:rPr>
      <w:rFonts w:ascii="Arial" w:eastAsia="SimSun" w:hAnsi="Arial" w:cs="Arial"/>
      <w:sz w:val="18"/>
      <w:szCs w:val="18"/>
      <w:lang w:eastAsia="zh-CN"/>
    </w:rPr>
  </w:style>
  <w:style w:type="character" w:customStyle="1" w:styleId="HeaderChar">
    <w:name w:val="Header Char"/>
    <w:basedOn w:val="DefaultParagraphFont"/>
    <w:link w:val="Header"/>
    <w:uiPriority w:val="99"/>
    <w:rsid w:val="005022C7"/>
    <w:rPr>
      <w:rFonts w:ascii="Arial" w:eastAsia="SimSun" w:hAnsi="Arial" w:cs="Arial"/>
      <w:sz w:val="18"/>
      <w:szCs w:val="18"/>
      <w:lang w:eastAsia="zh-CN"/>
    </w:rPr>
  </w:style>
  <w:style w:type="table" w:styleId="TableGrid">
    <w:name w:val="Table Grid"/>
    <w:basedOn w:val="TableNormal"/>
    <w:uiPriority w:val="59"/>
    <w:rsid w:val="005022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22C7"/>
    <w:pPr>
      <w:tabs>
        <w:tab w:val="center" w:pos="4513"/>
        <w:tab w:val="right" w:pos="9026"/>
      </w:tabs>
      <w:spacing w:line="240" w:lineRule="auto"/>
    </w:pPr>
  </w:style>
  <w:style w:type="character" w:customStyle="1" w:styleId="FooterChar">
    <w:name w:val="Footer Char"/>
    <w:basedOn w:val="DefaultParagraphFont"/>
    <w:link w:val="Footer"/>
    <w:uiPriority w:val="99"/>
    <w:rsid w:val="005022C7"/>
  </w:style>
  <w:style w:type="paragraph" w:styleId="ListParagraph">
    <w:name w:val="List Paragraph"/>
    <w:basedOn w:val="Normal"/>
    <w:uiPriority w:val="34"/>
    <w:qFormat/>
    <w:rsid w:val="005A1D58"/>
    <w:pPr>
      <w:ind w:left="720"/>
      <w:contextualSpacing/>
    </w:pPr>
  </w:style>
  <w:style w:type="table" w:customStyle="1" w:styleId="TableGrid0">
    <w:name w:val="TableGrid"/>
    <w:rsid w:val="009C361F"/>
    <w:pPr>
      <w:spacing w:line="240" w:lineRule="auto"/>
    </w:pPr>
    <w:rPr>
      <w:rFonts w:asciiTheme="minorHAnsi" w:eastAsiaTheme="minorEastAsia" w:hAnsiTheme="minorHAnsi"/>
      <w:sz w:val="22"/>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33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82"/>
    <w:rPr>
      <w:rFonts w:ascii="Segoe UI" w:hAnsi="Segoe UI" w:cs="Segoe UI"/>
      <w:sz w:val="18"/>
      <w:szCs w:val="18"/>
    </w:rPr>
  </w:style>
  <w:style w:type="character" w:styleId="CommentReference">
    <w:name w:val="annotation reference"/>
    <w:basedOn w:val="DefaultParagraphFont"/>
    <w:uiPriority w:val="99"/>
    <w:semiHidden/>
    <w:unhideWhenUsed/>
    <w:rsid w:val="00933482"/>
    <w:rPr>
      <w:sz w:val="16"/>
      <w:szCs w:val="16"/>
    </w:rPr>
  </w:style>
  <w:style w:type="paragraph" w:styleId="CommentText">
    <w:name w:val="annotation text"/>
    <w:basedOn w:val="Normal"/>
    <w:link w:val="CommentTextChar"/>
    <w:uiPriority w:val="99"/>
    <w:unhideWhenUsed/>
    <w:rsid w:val="00933482"/>
    <w:pPr>
      <w:spacing w:line="240" w:lineRule="auto"/>
    </w:pPr>
    <w:rPr>
      <w:sz w:val="20"/>
      <w:szCs w:val="20"/>
    </w:rPr>
  </w:style>
  <w:style w:type="character" w:customStyle="1" w:styleId="CommentTextChar">
    <w:name w:val="Comment Text Char"/>
    <w:basedOn w:val="DefaultParagraphFont"/>
    <w:link w:val="CommentText"/>
    <w:uiPriority w:val="99"/>
    <w:rsid w:val="00933482"/>
    <w:rPr>
      <w:sz w:val="20"/>
      <w:szCs w:val="20"/>
    </w:rPr>
  </w:style>
  <w:style w:type="paragraph" w:styleId="CommentSubject">
    <w:name w:val="annotation subject"/>
    <w:basedOn w:val="CommentText"/>
    <w:next w:val="CommentText"/>
    <w:link w:val="CommentSubjectChar"/>
    <w:uiPriority w:val="99"/>
    <w:semiHidden/>
    <w:unhideWhenUsed/>
    <w:rsid w:val="00933482"/>
    <w:rPr>
      <w:b/>
      <w:bCs/>
    </w:rPr>
  </w:style>
  <w:style w:type="character" w:customStyle="1" w:styleId="CommentSubjectChar">
    <w:name w:val="Comment Subject Char"/>
    <w:basedOn w:val="CommentTextChar"/>
    <w:link w:val="CommentSubject"/>
    <w:uiPriority w:val="99"/>
    <w:semiHidden/>
    <w:rsid w:val="00933482"/>
    <w:rPr>
      <w:b/>
      <w:bCs/>
      <w:sz w:val="20"/>
      <w:szCs w:val="20"/>
    </w:rPr>
  </w:style>
  <w:style w:type="paragraph" w:styleId="Revision">
    <w:name w:val="Revision"/>
    <w:hidden/>
    <w:uiPriority w:val="99"/>
    <w:semiHidden/>
    <w:rsid w:val="00E04144"/>
    <w:pPr>
      <w:spacing w:line="240" w:lineRule="auto"/>
    </w:pPr>
  </w:style>
  <w:style w:type="paragraph" w:styleId="TOC2">
    <w:name w:val="toc 2"/>
    <w:basedOn w:val="Normal"/>
    <w:next w:val="Normal"/>
    <w:rsid w:val="00F018DD"/>
    <w:pPr>
      <w:widowControl w:val="0"/>
      <w:tabs>
        <w:tab w:val="right" w:leader="dot" w:pos="9360"/>
      </w:tabs>
      <w:suppressAutoHyphens/>
      <w:autoSpaceDE w:val="0"/>
      <w:autoSpaceDN w:val="0"/>
      <w:adjustRightInd w:val="0"/>
      <w:spacing w:line="240" w:lineRule="atLeast"/>
      <w:ind w:left="720" w:right="720"/>
    </w:pPr>
    <w:rPr>
      <w:rFonts w:ascii="Arial" w:eastAsia="SimSun" w:hAnsi="Arial" w:cs="Arial"/>
      <w:sz w:val="18"/>
      <w:szCs w:val="18"/>
      <w:lang w:val="en-US" w:eastAsia="zh-CN"/>
    </w:rPr>
  </w:style>
  <w:style w:type="character" w:customStyle="1" w:styleId="Heading1Char">
    <w:name w:val="Heading 1 Char"/>
    <w:basedOn w:val="DefaultParagraphFont"/>
    <w:link w:val="Heading1"/>
    <w:uiPriority w:val="9"/>
    <w:rsid w:val="00A931AA"/>
    <w:rPr>
      <w:rFonts w:ascii="Arial" w:eastAsiaTheme="majorEastAsia" w:hAnsi="Arial" w:cstheme="majorBidi"/>
      <w:sz w:val="48"/>
      <w:szCs w:val="32"/>
    </w:rPr>
  </w:style>
  <w:style w:type="character" w:customStyle="1" w:styleId="Heading2Char">
    <w:name w:val="Heading 2 Char"/>
    <w:basedOn w:val="DefaultParagraphFont"/>
    <w:link w:val="Heading2"/>
    <w:uiPriority w:val="9"/>
    <w:rsid w:val="00DE7DB7"/>
    <w:rPr>
      <w:rFonts w:ascii="Arial" w:eastAsiaTheme="majorEastAsia" w:hAnsi="Arial"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6" ma:contentTypeDescription="Create a new document." ma:contentTypeScope="" ma:versionID="b27972778f5da9e306a03fc54fe33d4a">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4cd7e22fb60e651820e5e47a8aee7dd0"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9EC52-52BF-4D0F-B12D-CB6E6A3C5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92215-B347-4F65-A2EC-2A473C3329AF}">
  <ds:schemaRefs>
    <ds:schemaRef ds:uri="http://schemas.microsoft.com/sharepoint/v3/contenttype/forms"/>
  </ds:schemaRefs>
</ds:datastoreItem>
</file>

<file path=customXml/itemProps3.xml><?xml version="1.0" encoding="utf-8"?>
<ds:datastoreItem xmlns:ds="http://schemas.openxmlformats.org/officeDocument/2006/customXml" ds:itemID="{BC0E1365-C914-479E-8281-43E336B82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Davies - Staff</dc:creator>
  <cp:lastModifiedBy>Sophie Melton Bradley</cp:lastModifiedBy>
  <cp:revision>9</cp:revision>
  <dcterms:created xsi:type="dcterms:W3CDTF">2025-08-12T10:35:00Z</dcterms:created>
  <dcterms:modified xsi:type="dcterms:W3CDTF">2025-08-13T10:41:00Z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Order">
    <vt:r8>274600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2,3,4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SIP_Label_43c9f532-f68c-4710-a80c-2dea02e48496_Enabled">
    <vt:lpwstr>true</vt:lpwstr>
  </property>
  <property fmtid="{D5CDD505-2E9C-101B-9397-08002B2CF9AE}" pid="11" name="MSIP_Label_43c9f532-f68c-4710-a80c-2dea02e48496_SetDate">
    <vt:lpwstr>2024-05-01T12:38:08Z</vt:lpwstr>
  </property>
  <property fmtid="{D5CDD505-2E9C-101B-9397-08002B2CF9AE}" pid="12" name="MSIP_Label_43c9f532-f68c-4710-a80c-2dea02e48496_Method">
    <vt:lpwstr>Standard</vt:lpwstr>
  </property>
  <property fmtid="{D5CDD505-2E9C-101B-9397-08002B2CF9AE}" pid="13" name="MSIP_Label_43c9f532-f68c-4710-a80c-2dea02e48496_Name">
    <vt:lpwstr>Restricted Label</vt:lpwstr>
  </property>
  <property fmtid="{D5CDD505-2E9C-101B-9397-08002B2CF9AE}" pid="14" name="MSIP_Label_43c9f532-f68c-4710-a80c-2dea02e48496_SiteId">
    <vt:lpwstr>23706653-cd57-4504-9a59-0960251db4b0</vt:lpwstr>
  </property>
  <property fmtid="{D5CDD505-2E9C-101B-9397-08002B2CF9AE}" pid="15" name="MSIP_Label_43c9f532-f68c-4710-a80c-2dea02e48496_ActionId">
    <vt:lpwstr>ca1dbe28-aa77-4ee7-92fb-6157c23c8f7e</vt:lpwstr>
  </property>
  <property fmtid="{D5CDD505-2E9C-101B-9397-08002B2CF9AE}" pid="16" name="MSIP_Label_43c9f532-f68c-4710-a80c-2dea02e48496_ContentBits">
    <vt:lpwstr>0</vt:lpwstr>
  </property>
</Properties>
</file>