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0266" w14:textId="77777777" w:rsidR="00DE0744" w:rsidRDefault="00DE0744" w:rsidP="00DE0744">
      <w:pPr>
        <w:pBdr>
          <w:bottom w:val="single" w:sz="4" w:space="1" w:color="000000"/>
        </w:pBdr>
        <w:tabs>
          <w:tab w:val="left" w:pos="720"/>
        </w:tabs>
        <w:spacing w:after="0"/>
        <w:ind w:leftChars="0" w:left="0" w:firstLineChars="0" w:firstLine="0"/>
        <w:rPr>
          <w:color w:val="7030A0"/>
          <w:u w:val="single"/>
        </w:rPr>
      </w:pPr>
      <w:r>
        <w:rPr>
          <w:color w:val="7030A0"/>
          <w:u w:val="single"/>
        </w:rPr>
        <w:t xml:space="preserve">                                                        </w:t>
      </w:r>
    </w:p>
    <w:p w14:paraId="24EBC60B" w14:textId="77777777" w:rsidR="00DE0744" w:rsidRDefault="00DE0744" w:rsidP="00DE0744">
      <w:pPr>
        <w:keepNext/>
        <w:tabs>
          <w:tab w:val="left" w:pos="720"/>
        </w:tabs>
        <w:spacing w:after="0"/>
        <w:ind w:left="0" w:hanging="2"/>
      </w:pPr>
    </w:p>
    <w:p w14:paraId="04195650" w14:textId="77777777" w:rsidR="00DE0744" w:rsidRPr="00DE0744" w:rsidRDefault="00DE0744" w:rsidP="00DE0744">
      <w:pPr>
        <w:keepNext/>
        <w:tabs>
          <w:tab w:val="left" w:pos="720"/>
        </w:tabs>
        <w:spacing w:after="0"/>
        <w:ind w:left="1" w:hanging="3"/>
        <w:rPr>
          <w:rFonts w:ascii="Arial" w:eastAsia="Arial" w:hAnsi="Arial" w:cs="Arial"/>
          <w:sz w:val="28"/>
          <w:szCs w:val="28"/>
        </w:rPr>
      </w:pPr>
      <w:r w:rsidRPr="00DE0744">
        <w:rPr>
          <w:rFonts w:ascii="Arial" w:eastAsia="Arial" w:hAnsi="Arial" w:cs="Arial"/>
          <w:b/>
          <w:sz w:val="28"/>
          <w:szCs w:val="28"/>
        </w:rPr>
        <w:t xml:space="preserve">Privacy Notice </w:t>
      </w:r>
      <w:r w:rsidRPr="00DE0744">
        <w:rPr>
          <w:noProof/>
        </w:rPr>
        <w:drawing>
          <wp:anchor distT="0" distB="0" distL="114300" distR="114300" simplePos="0" relativeHeight="251658240" behindDoc="0" locked="0" layoutInCell="1" hidden="0" allowOverlap="1" wp14:anchorId="1A1FF511" wp14:editId="0AC8F2A2">
            <wp:simplePos x="0" y="0"/>
            <wp:positionH relativeFrom="page">
              <wp:posOffset>5461635</wp:posOffset>
            </wp:positionH>
            <wp:positionV relativeFrom="page">
              <wp:posOffset>716915</wp:posOffset>
            </wp:positionV>
            <wp:extent cx="1028700" cy="1028700"/>
            <wp:effectExtent l="0" t="0" r="0" b="0"/>
            <wp:wrapSquare wrapText="bothSides" distT="0" distB="0" distL="114300" distR="114300"/>
            <wp:docPr id="2" name="image1.png" descr="The logo for Bath Spa University"/>
            <wp:cNvGraphicFramePr/>
            <a:graphic xmlns:a="http://schemas.openxmlformats.org/drawingml/2006/main">
              <a:graphicData uri="http://schemas.openxmlformats.org/drawingml/2006/picture">
                <pic:pic xmlns:pic="http://schemas.openxmlformats.org/drawingml/2006/picture">
                  <pic:nvPicPr>
                    <pic:cNvPr id="2" name="image1.png" descr="The logo for Bath Spa University"/>
                    <pic:cNvPicPr preferRelativeResize="0"/>
                  </pic:nvPicPr>
                  <pic:blipFill>
                    <a:blip r:embed="rId7"/>
                    <a:srcRect/>
                    <a:stretch>
                      <a:fillRect/>
                    </a:stretch>
                  </pic:blipFill>
                  <pic:spPr>
                    <a:xfrm>
                      <a:off x="0" y="0"/>
                      <a:ext cx="1028700" cy="1028700"/>
                    </a:xfrm>
                    <a:prstGeom prst="rect">
                      <a:avLst/>
                    </a:prstGeom>
                    <a:ln/>
                  </pic:spPr>
                </pic:pic>
              </a:graphicData>
            </a:graphic>
          </wp:anchor>
        </w:drawing>
      </w:r>
      <w:r w:rsidRPr="00DE0744">
        <w:rPr>
          <w:rFonts w:ascii="Arial" w:eastAsia="Arial" w:hAnsi="Arial" w:cs="Arial"/>
          <w:b/>
          <w:sz w:val="28"/>
          <w:szCs w:val="28"/>
        </w:rPr>
        <w:t>for Library forms</w:t>
      </w:r>
    </w:p>
    <w:p w14:paraId="5B10E505" w14:textId="77777777" w:rsidR="00DE0744" w:rsidRPr="00DE0744" w:rsidRDefault="00DE0744" w:rsidP="00DE0744">
      <w:pPr>
        <w:keepNext/>
        <w:tabs>
          <w:tab w:val="left" w:pos="6684"/>
        </w:tabs>
        <w:spacing w:after="0"/>
        <w:ind w:left="0" w:hanging="2"/>
        <w:rPr>
          <w:rFonts w:ascii="Arial" w:eastAsia="Arial" w:hAnsi="Arial" w:cs="Arial"/>
          <w:sz w:val="20"/>
          <w:szCs w:val="20"/>
        </w:rPr>
      </w:pPr>
    </w:p>
    <w:p w14:paraId="322EE63B" w14:textId="77777777" w:rsidR="00DE0744" w:rsidRPr="00DE0744" w:rsidRDefault="00DE0744" w:rsidP="00DE0744">
      <w:pPr>
        <w:keepNext/>
        <w:tabs>
          <w:tab w:val="left" w:pos="6684"/>
        </w:tabs>
        <w:spacing w:after="0"/>
        <w:ind w:left="0" w:hanging="2"/>
        <w:rPr>
          <w:rFonts w:ascii="Arial" w:eastAsia="Arial" w:hAnsi="Arial" w:cs="Arial"/>
          <w:sz w:val="20"/>
          <w:szCs w:val="20"/>
        </w:rPr>
      </w:pPr>
      <w:r w:rsidRPr="00DE0744">
        <w:rPr>
          <w:rFonts w:ascii="Arial" w:eastAsia="Arial" w:hAnsi="Arial" w:cs="Arial"/>
          <w:sz w:val="20"/>
          <w:szCs w:val="20"/>
        </w:rPr>
        <w:t>7 March 2025</w:t>
      </w:r>
      <w:r w:rsidRPr="00DE0744">
        <w:rPr>
          <w:rFonts w:ascii="Arial" w:eastAsia="Arial" w:hAnsi="Arial" w:cs="Arial"/>
          <w:sz w:val="20"/>
          <w:szCs w:val="20"/>
        </w:rPr>
        <w:tab/>
      </w:r>
    </w:p>
    <w:p w14:paraId="4C43311C" w14:textId="77777777" w:rsidR="00DE0744" w:rsidRPr="00DE0744" w:rsidRDefault="00DE0744" w:rsidP="00DE0744">
      <w:pPr>
        <w:pBdr>
          <w:bottom w:val="single" w:sz="4" w:space="1" w:color="000000"/>
        </w:pBdr>
        <w:tabs>
          <w:tab w:val="left" w:pos="720"/>
        </w:tabs>
        <w:spacing w:after="0"/>
        <w:ind w:left="0" w:hanging="2"/>
        <w:rPr>
          <w:rFonts w:ascii="Arial" w:eastAsia="Arial" w:hAnsi="Arial" w:cs="Arial"/>
          <w:sz w:val="20"/>
          <w:szCs w:val="20"/>
        </w:rPr>
      </w:pPr>
    </w:p>
    <w:p w14:paraId="48BFEA8B" w14:textId="77777777" w:rsidR="00DE0744" w:rsidRPr="00DE0744" w:rsidRDefault="00DE0744" w:rsidP="00DE0744">
      <w:pPr>
        <w:keepNext/>
        <w:tabs>
          <w:tab w:val="left" w:pos="6684"/>
        </w:tabs>
        <w:spacing w:after="0"/>
        <w:ind w:left="0" w:hanging="2"/>
        <w:rPr>
          <w:rFonts w:ascii="Arial" w:eastAsia="Arial" w:hAnsi="Arial" w:cs="Arial"/>
          <w:sz w:val="20"/>
          <w:szCs w:val="20"/>
        </w:rPr>
      </w:pPr>
      <w:r w:rsidRPr="00DE0744">
        <w:rPr>
          <w:rFonts w:ascii="Arial" w:eastAsia="Arial" w:hAnsi="Arial" w:cs="Arial"/>
          <w:sz w:val="20"/>
          <w:szCs w:val="20"/>
        </w:rPr>
        <w:tab/>
      </w:r>
      <w:r w:rsidRPr="00DE0744">
        <w:rPr>
          <w:rFonts w:ascii="Arial" w:eastAsia="Arial" w:hAnsi="Arial" w:cs="Arial"/>
          <w:sz w:val="20"/>
          <w:szCs w:val="20"/>
        </w:rPr>
        <w:tab/>
      </w:r>
    </w:p>
    <w:p w14:paraId="0595BB81" w14:textId="77777777" w:rsidR="00DE0744" w:rsidRPr="00DE0744" w:rsidRDefault="00DE0744" w:rsidP="00DE0744">
      <w:pPr>
        <w:pStyle w:val="Heading1"/>
        <w:ind w:left="2" w:hanging="4"/>
      </w:pPr>
      <w:bookmarkStart w:id="0" w:name="_heading=h.30j0zll" w:colFirst="0" w:colLast="0"/>
      <w:bookmarkEnd w:id="0"/>
      <w:r w:rsidRPr="00DE0744">
        <w:t>Introduction</w:t>
      </w:r>
    </w:p>
    <w:p w14:paraId="5C46F1A5"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This Privacy Notice applies to Bath Spa University staff, students, and visitors. Bath Spa University (the </w:t>
      </w:r>
      <w:r w:rsidRPr="00DE0744">
        <w:rPr>
          <w:b/>
          <w:color w:val="000000"/>
        </w:rPr>
        <w:t>University</w:t>
      </w:r>
      <w:r w:rsidRPr="00DE0744">
        <w:rPr>
          <w:color w:val="000000"/>
        </w:rPr>
        <w:t>) is a public university which has its main campus at Newton Park, Newton St Loe, Bath, BA2 9BN.</w:t>
      </w:r>
    </w:p>
    <w:p w14:paraId="28B1201C"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We are committed to safeguarding the privacy of our staff, students, and visitors; this Notice sets out how we will treat your personal information when you share it with Bath Spa University Library via a Microsoft Form. We are the data controller which means we are responsible for deciding how we collect and use your personal information.</w:t>
      </w:r>
    </w:p>
    <w:p w14:paraId="2E298B7E" w14:textId="77777777" w:rsidR="00DE0744" w:rsidRPr="00DE0744" w:rsidRDefault="00DE0744" w:rsidP="00DE0744">
      <w:pPr>
        <w:numPr>
          <w:ilvl w:val="0"/>
          <w:numId w:val="1"/>
        </w:numPr>
        <w:pBdr>
          <w:top w:val="nil"/>
          <w:left w:val="nil"/>
          <w:bottom w:val="nil"/>
          <w:right w:val="nil"/>
          <w:between w:val="nil"/>
        </w:pBdr>
        <w:spacing w:line="240" w:lineRule="auto"/>
        <w:ind w:left="0" w:hanging="2"/>
        <w:rPr>
          <w:sz w:val="20"/>
          <w:szCs w:val="20"/>
        </w:rPr>
      </w:pPr>
      <w:r w:rsidRPr="00DE0744">
        <w:rPr>
          <w:color w:val="3C3C3C"/>
        </w:rPr>
        <w:t xml:space="preserve">Please see the </w:t>
      </w:r>
      <w:hyperlink r:id="rId8">
        <w:r w:rsidRPr="00DE0744">
          <w:rPr>
            <w:b/>
            <w:color w:val="0078A3"/>
          </w:rPr>
          <w:t>policy section of our website</w:t>
        </w:r>
      </w:hyperlink>
      <w:r w:rsidRPr="00DE0744">
        <w:rPr>
          <w:color w:val="3C3C3C"/>
        </w:rPr>
        <w:t xml:space="preserve"> to access our full Data Protection Policy and our further privacy notices (including privacy information for our website users).</w:t>
      </w:r>
    </w:p>
    <w:p w14:paraId="0AD938E5" w14:textId="77777777" w:rsidR="00DE0744" w:rsidRPr="00DE0744" w:rsidRDefault="00DE0744" w:rsidP="00DE0744">
      <w:pPr>
        <w:ind w:left="0" w:hanging="2"/>
      </w:pPr>
      <w:r w:rsidRPr="00DE0744">
        <w:rPr>
          <w:b/>
        </w:rPr>
        <w:t>What data do we hold?</w:t>
      </w:r>
    </w:p>
    <w:p w14:paraId="4A684DAE" w14:textId="77777777" w:rsidR="00DE0744" w:rsidRPr="00DE0744" w:rsidRDefault="00DE0744" w:rsidP="00DE0744">
      <w:pPr>
        <w:pStyle w:val="ListParagraph"/>
        <w:numPr>
          <w:ilvl w:val="0"/>
          <w:numId w:val="3"/>
        </w:numPr>
        <w:pBdr>
          <w:top w:val="nil"/>
          <w:left w:val="nil"/>
          <w:bottom w:val="nil"/>
          <w:right w:val="nil"/>
          <w:between w:val="nil"/>
        </w:pBdr>
        <w:spacing w:line="240" w:lineRule="auto"/>
        <w:ind w:leftChars="0" w:left="567" w:firstLineChars="0" w:hanging="283"/>
        <w:rPr>
          <w:color w:val="000000" w:themeColor="text1"/>
        </w:rPr>
      </w:pPr>
      <w:r w:rsidRPr="00DE0744">
        <w:rPr>
          <w:color w:val="000000" w:themeColor="text1"/>
        </w:rPr>
        <w:t>We collect and process personal information from you for the purposes of providing or improving library services.   Depending on the purpose of the form (e.g. Library membership application or user experience survey) this may include: Your name, username, email address, home address, telephone number, student ID number, year of study, School or Department, graduation date</w:t>
      </w:r>
    </w:p>
    <w:p w14:paraId="1E78F7A9" w14:textId="77777777" w:rsidR="00DE0744" w:rsidRPr="00DE0744" w:rsidRDefault="00DE0744" w:rsidP="00DE0744">
      <w:pPr>
        <w:pStyle w:val="ListParagraph"/>
        <w:numPr>
          <w:ilvl w:val="0"/>
          <w:numId w:val="3"/>
        </w:numPr>
        <w:pBdr>
          <w:top w:val="nil"/>
          <w:left w:val="nil"/>
          <w:bottom w:val="nil"/>
          <w:right w:val="nil"/>
          <w:between w:val="nil"/>
        </w:pBdr>
        <w:spacing w:line="240" w:lineRule="auto"/>
        <w:ind w:leftChars="0" w:left="567" w:firstLineChars="0" w:hanging="283"/>
        <w:rPr>
          <w:color w:val="000000" w:themeColor="text1"/>
        </w:rPr>
      </w:pPr>
      <w:r w:rsidRPr="00DE0744">
        <w:rPr>
          <w:color w:val="000000" w:themeColor="text1"/>
        </w:rPr>
        <w:t>Your responses to questions about Library services</w:t>
      </w:r>
    </w:p>
    <w:p w14:paraId="21C1D401" w14:textId="77777777" w:rsidR="00DE0744" w:rsidRPr="00DE0744" w:rsidRDefault="00DE0744" w:rsidP="00DE0744">
      <w:pPr>
        <w:pStyle w:val="ListParagraph"/>
        <w:numPr>
          <w:ilvl w:val="0"/>
          <w:numId w:val="3"/>
        </w:numPr>
        <w:pBdr>
          <w:top w:val="nil"/>
          <w:left w:val="nil"/>
          <w:bottom w:val="nil"/>
          <w:right w:val="nil"/>
          <w:between w:val="nil"/>
        </w:pBdr>
        <w:spacing w:line="240" w:lineRule="auto"/>
        <w:ind w:leftChars="0" w:left="567" w:firstLineChars="0" w:hanging="283"/>
        <w:rPr>
          <w:color w:val="000000" w:themeColor="text1"/>
        </w:rPr>
      </w:pPr>
      <w:r w:rsidRPr="00DE0744">
        <w:rPr>
          <w:i/>
          <w:iCs/>
          <w:color w:val="000000" w:themeColor="text1"/>
        </w:rPr>
        <w:t xml:space="preserve">[By explicit consent, and solely for the purposes of providing personalised support] </w:t>
      </w:r>
      <w:r w:rsidRPr="00DE0744">
        <w:rPr>
          <w:color w:val="000000" w:themeColor="text1"/>
        </w:rPr>
        <w:t>health or disability related information. This information will be as non-specific as possible for the purposes of providing our services.</w:t>
      </w:r>
    </w:p>
    <w:p w14:paraId="23EEFA64" w14:textId="77777777" w:rsidR="00DE0744" w:rsidRPr="00DE0744" w:rsidRDefault="00DE0744" w:rsidP="00DE0744">
      <w:pPr>
        <w:ind w:left="0" w:hanging="2"/>
      </w:pPr>
      <w:r w:rsidRPr="00DE0744">
        <w:rPr>
          <w:b/>
        </w:rPr>
        <w:t>Why do we process your personal data, and what is the legal basis for that processing?</w:t>
      </w:r>
    </w:p>
    <w:p w14:paraId="22088182"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The legal bases we are relying on for collecting and processing the information for each of the purposes are as follows: </w:t>
      </w:r>
    </w:p>
    <w:tbl>
      <w:tblPr>
        <w:tblW w:w="9214"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Legal basis for processing information"/>
        <w:tblDescription w:val="This table explains the legal basis for processing personal information"/>
      </w:tblPr>
      <w:tblGrid>
        <w:gridCol w:w="4253"/>
        <w:gridCol w:w="4961"/>
      </w:tblGrid>
      <w:tr w:rsidR="00DE0744" w:rsidRPr="00DE0744" w14:paraId="3D5973D0" w14:textId="77777777" w:rsidTr="0058764F">
        <w:trPr>
          <w:cantSplit/>
          <w:tblHeader/>
        </w:trPr>
        <w:tc>
          <w:tcPr>
            <w:tcW w:w="4253" w:type="dxa"/>
            <w:shd w:val="clear" w:color="auto" w:fill="auto"/>
          </w:tcPr>
          <w:p w14:paraId="3B5D0E07" w14:textId="77777777" w:rsidR="00DE0744" w:rsidRPr="00DE0744" w:rsidRDefault="00DE0744" w:rsidP="00AF1088">
            <w:pPr>
              <w:pBdr>
                <w:top w:val="nil"/>
                <w:left w:val="nil"/>
                <w:bottom w:val="nil"/>
                <w:right w:val="nil"/>
                <w:between w:val="nil"/>
              </w:pBdr>
              <w:spacing w:line="240" w:lineRule="auto"/>
              <w:ind w:left="0" w:hanging="2"/>
              <w:rPr>
                <w:color w:val="000000"/>
              </w:rPr>
            </w:pPr>
            <w:r w:rsidRPr="00DE0744">
              <w:rPr>
                <w:color w:val="000000"/>
              </w:rPr>
              <w:t>PURPOSE OF COLLECTING INFORMATION</w:t>
            </w:r>
          </w:p>
        </w:tc>
        <w:tc>
          <w:tcPr>
            <w:tcW w:w="4961" w:type="dxa"/>
            <w:shd w:val="clear" w:color="auto" w:fill="auto"/>
          </w:tcPr>
          <w:p w14:paraId="7BEFE60D" w14:textId="77777777" w:rsidR="00DE0744" w:rsidRPr="00DE0744" w:rsidRDefault="00DE0744" w:rsidP="00AF1088">
            <w:pPr>
              <w:pBdr>
                <w:top w:val="nil"/>
                <w:left w:val="nil"/>
                <w:bottom w:val="nil"/>
                <w:right w:val="nil"/>
                <w:between w:val="nil"/>
              </w:pBdr>
              <w:spacing w:line="240" w:lineRule="auto"/>
              <w:ind w:left="0" w:hanging="2"/>
              <w:rPr>
                <w:color w:val="000000"/>
              </w:rPr>
            </w:pPr>
            <w:r w:rsidRPr="00DE0744">
              <w:rPr>
                <w:color w:val="000000"/>
              </w:rPr>
              <w:t xml:space="preserve">LEGAL BASIS FOR PROCESSING INFORMATION </w:t>
            </w:r>
          </w:p>
        </w:tc>
      </w:tr>
      <w:tr w:rsidR="00DE0744" w:rsidRPr="00DE0744" w14:paraId="13D214BF" w14:textId="77777777" w:rsidTr="00AF1088">
        <w:tc>
          <w:tcPr>
            <w:tcW w:w="4253" w:type="dxa"/>
            <w:shd w:val="clear" w:color="auto" w:fill="auto"/>
          </w:tcPr>
          <w:p w14:paraId="2BBCCC67" w14:textId="77777777" w:rsidR="00DE0744" w:rsidRPr="00DE0744" w:rsidRDefault="00DE0744" w:rsidP="00AF1088">
            <w:pPr>
              <w:pBdr>
                <w:top w:val="nil"/>
                <w:left w:val="nil"/>
                <w:bottom w:val="nil"/>
                <w:right w:val="nil"/>
                <w:between w:val="nil"/>
              </w:pBdr>
              <w:spacing w:line="240" w:lineRule="auto"/>
              <w:ind w:left="0" w:hanging="2"/>
              <w:rPr>
                <w:bCs/>
                <w:color w:val="000000"/>
              </w:rPr>
            </w:pPr>
            <w:r w:rsidRPr="00DE0744">
              <w:rPr>
                <w:bCs/>
                <w:color w:val="000000"/>
              </w:rPr>
              <w:t>The provision of a personal Library account, allowing the individual to receive Library services and communications</w:t>
            </w:r>
          </w:p>
        </w:tc>
        <w:tc>
          <w:tcPr>
            <w:tcW w:w="4961" w:type="dxa"/>
            <w:shd w:val="clear" w:color="auto" w:fill="auto"/>
          </w:tcPr>
          <w:p w14:paraId="04FA5D18" w14:textId="77777777" w:rsidR="00DE0744" w:rsidRPr="00DE0744" w:rsidRDefault="00DE0744" w:rsidP="00AF1088">
            <w:pPr>
              <w:pBdr>
                <w:top w:val="nil"/>
                <w:left w:val="nil"/>
                <w:bottom w:val="nil"/>
                <w:right w:val="nil"/>
                <w:between w:val="nil"/>
              </w:pBdr>
              <w:spacing w:line="240" w:lineRule="auto"/>
              <w:ind w:left="0" w:hanging="2"/>
              <w:rPr>
                <w:bCs/>
                <w:color w:val="000000"/>
              </w:rPr>
            </w:pPr>
            <w:r w:rsidRPr="00DE0744">
              <w:rPr>
                <w:bCs/>
                <w:color w:val="000000"/>
              </w:rPr>
              <w:t>Contract – individuals applying for Library membership accept the terms of the Library Regulations. Personal details are required to ensure that loaned stock is returned.</w:t>
            </w:r>
          </w:p>
        </w:tc>
      </w:tr>
      <w:tr w:rsidR="00DE0744" w:rsidRPr="00DE0744" w14:paraId="1642D470" w14:textId="77777777" w:rsidTr="00AF1088">
        <w:tc>
          <w:tcPr>
            <w:tcW w:w="4253" w:type="dxa"/>
            <w:shd w:val="clear" w:color="auto" w:fill="auto"/>
          </w:tcPr>
          <w:p w14:paraId="7D72B19C" w14:textId="77777777" w:rsidR="00DE0744" w:rsidRPr="00DE0744" w:rsidRDefault="00DE0744" w:rsidP="00AF1088">
            <w:pPr>
              <w:pBdr>
                <w:top w:val="nil"/>
                <w:left w:val="nil"/>
                <w:bottom w:val="nil"/>
                <w:right w:val="nil"/>
                <w:between w:val="nil"/>
              </w:pBdr>
              <w:spacing w:line="240" w:lineRule="auto"/>
              <w:ind w:left="0" w:hanging="2"/>
              <w:rPr>
                <w:bCs/>
                <w:color w:val="000000"/>
              </w:rPr>
            </w:pPr>
            <w:r w:rsidRPr="00DE0744">
              <w:rPr>
                <w:bCs/>
                <w:color w:val="000000"/>
              </w:rPr>
              <w:t>The improvement of Library services</w:t>
            </w:r>
          </w:p>
        </w:tc>
        <w:tc>
          <w:tcPr>
            <w:tcW w:w="4961" w:type="dxa"/>
            <w:shd w:val="clear" w:color="auto" w:fill="auto"/>
          </w:tcPr>
          <w:p w14:paraId="34149FCA" w14:textId="77777777" w:rsidR="00DE0744" w:rsidRPr="00DE0744" w:rsidRDefault="00DE0744" w:rsidP="00AF1088">
            <w:pPr>
              <w:pBdr>
                <w:top w:val="nil"/>
                <w:left w:val="nil"/>
                <w:bottom w:val="nil"/>
                <w:right w:val="nil"/>
                <w:between w:val="nil"/>
              </w:pBdr>
              <w:spacing w:line="240" w:lineRule="auto"/>
              <w:ind w:left="0" w:hanging="2"/>
              <w:rPr>
                <w:bCs/>
                <w:color w:val="000000"/>
              </w:rPr>
            </w:pPr>
            <w:r w:rsidRPr="00DE0744">
              <w:rPr>
                <w:bCs/>
                <w:color w:val="000000"/>
              </w:rPr>
              <w:t xml:space="preserve">Consent – individuals completing a Library survey or suggesting new purchases for the </w:t>
            </w:r>
            <w:proofErr w:type="gramStart"/>
            <w:r w:rsidRPr="00DE0744">
              <w:rPr>
                <w:bCs/>
                <w:color w:val="000000"/>
              </w:rPr>
              <w:t>Library</w:t>
            </w:r>
            <w:proofErr w:type="gramEnd"/>
            <w:r w:rsidRPr="00DE0744">
              <w:rPr>
                <w:bCs/>
                <w:color w:val="000000"/>
              </w:rPr>
              <w:t xml:space="preserve"> collection </w:t>
            </w:r>
            <w:proofErr w:type="gramStart"/>
            <w:r w:rsidRPr="00DE0744">
              <w:rPr>
                <w:bCs/>
                <w:color w:val="000000"/>
              </w:rPr>
              <w:t>are</w:t>
            </w:r>
            <w:proofErr w:type="gramEnd"/>
            <w:r w:rsidRPr="00DE0744">
              <w:rPr>
                <w:bCs/>
                <w:color w:val="000000"/>
              </w:rPr>
              <w:t>, by voluntarily offering their personal data via Microsoft Forms, consenting to the processing of this information</w:t>
            </w:r>
          </w:p>
        </w:tc>
      </w:tr>
      <w:tr w:rsidR="00DE0744" w:rsidRPr="00DE0744" w14:paraId="48598967" w14:textId="77777777" w:rsidTr="00AF1088">
        <w:tc>
          <w:tcPr>
            <w:tcW w:w="4253" w:type="dxa"/>
            <w:shd w:val="clear" w:color="auto" w:fill="auto"/>
          </w:tcPr>
          <w:p w14:paraId="1CDC8E2D" w14:textId="77777777" w:rsidR="00DE0744" w:rsidRPr="00DE0744" w:rsidRDefault="00DE0744" w:rsidP="00AF1088">
            <w:pPr>
              <w:pBdr>
                <w:top w:val="nil"/>
                <w:left w:val="nil"/>
                <w:bottom w:val="nil"/>
                <w:right w:val="nil"/>
                <w:between w:val="nil"/>
              </w:pBdr>
              <w:spacing w:line="240" w:lineRule="auto"/>
              <w:ind w:left="0" w:hanging="2"/>
              <w:rPr>
                <w:color w:val="000000" w:themeColor="text1"/>
              </w:rPr>
            </w:pPr>
            <w:r w:rsidRPr="00DE0744">
              <w:rPr>
                <w:color w:val="000000" w:themeColor="text1"/>
              </w:rPr>
              <w:lastRenderedPageBreak/>
              <w:t>To record the transfer of copyright to the University</w:t>
            </w:r>
          </w:p>
        </w:tc>
        <w:tc>
          <w:tcPr>
            <w:tcW w:w="4961" w:type="dxa"/>
            <w:shd w:val="clear" w:color="auto" w:fill="auto"/>
          </w:tcPr>
          <w:p w14:paraId="544724BF" w14:textId="77777777" w:rsidR="00DE0744" w:rsidRPr="00DE0744" w:rsidRDefault="00DE0744" w:rsidP="00AF1088">
            <w:pPr>
              <w:pBdr>
                <w:top w:val="nil"/>
                <w:left w:val="nil"/>
                <w:bottom w:val="nil"/>
                <w:right w:val="nil"/>
                <w:between w:val="nil"/>
              </w:pBdr>
              <w:spacing w:line="240" w:lineRule="auto"/>
              <w:ind w:left="0" w:hanging="2"/>
              <w:rPr>
                <w:color w:val="000000" w:themeColor="text1"/>
              </w:rPr>
            </w:pPr>
            <w:r w:rsidRPr="00DE0744">
              <w:rPr>
                <w:color w:val="000000" w:themeColor="text1"/>
              </w:rPr>
              <w:t xml:space="preserve">Consent – research staff </w:t>
            </w:r>
            <w:proofErr w:type="gramStart"/>
            <w:r w:rsidRPr="00DE0744">
              <w:rPr>
                <w:color w:val="000000" w:themeColor="text1"/>
              </w:rPr>
              <w:t>are able to</w:t>
            </w:r>
            <w:proofErr w:type="gramEnd"/>
            <w:r w:rsidRPr="00DE0744">
              <w:rPr>
                <w:color w:val="000000" w:themeColor="text1"/>
              </w:rPr>
              <w:t xml:space="preserve"> give the University a non-exclusive licence to make their outputs openly accessible via online research repository platforms </w:t>
            </w:r>
          </w:p>
        </w:tc>
      </w:tr>
      <w:tr w:rsidR="00DE0744" w:rsidRPr="00DE0744" w14:paraId="2CDC5365" w14:textId="77777777" w:rsidTr="00AF1088">
        <w:trPr>
          <w:trHeight w:val="300"/>
        </w:trPr>
        <w:tc>
          <w:tcPr>
            <w:tcW w:w="4253" w:type="dxa"/>
            <w:shd w:val="clear" w:color="auto" w:fill="auto"/>
          </w:tcPr>
          <w:p w14:paraId="2DF92257" w14:textId="77777777" w:rsidR="00DE0744" w:rsidRPr="00DE0744" w:rsidRDefault="00DE0744" w:rsidP="00AF1088">
            <w:pPr>
              <w:spacing w:line="240" w:lineRule="auto"/>
              <w:ind w:left="0" w:hanging="2"/>
              <w:rPr>
                <w:color w:val="000000" w:themeColor="text1"/>
              </w:rPr>
            </w:pPr>
            <w:r w:rsidRPr="00DE0744">
              <w:rPr>
                <w:color w:val="000000" w:themeColor="text1"/>
              </w:rPr>
              <w:t>To allow Library users to request non-standard services</w:t>
            </w:r>
          </w:p>
        </w:tc>
        <w:tc>
          <w:tcPr>
            <w:tcW w:w="4961" w:type="dxa"/>
            <w:shd w:val="clear" w:color="auto" w:fill="auto"/>
          </w:tcPr>
          <w:p w14:paraId="49A728FD" w14:textId="77777777" w:rsidR="00DE0744" w:rsidRPr="00DE0744" w:rsidRDefault="00DE0744" w:rsidP="00AF1088">
            <w:pPr>
              <w:spacing w:line="240" w:lineRule="auto"/>
              <w:ind w:left="0" w:hanging="2"/>
              <w:rPr>
                <w:color w:val="000000" w:themeColor="text1"/>
              </w:rPr>
            </w:pPr>
            <w:r w:rsidRPr="00DE0744">
              <w:rPr>
                <w:color w:val="000000" w:themeColor="text1"/>
              </w:rPr>
              <w:t xml:space="preserve">Consent – individuals may want to, for example, request permission to film in the </w:t>
            </w:r>
            <w:proofErr w:type="gramStart"/>
            <w:r w:rsidRPr="00DE0744">
              <w:rPr>
                <w:color w:val="000000" w:themeColor="text1"/>
              </w:rPr>
              <w:t>Library</w:t>
            </w:r>
            <w:proofErr w:type="gramEnd"/>
            <w:r w:rsidRPr="00DE0744">
              <w:rPr>
                <w:color w:val="000000" w:themeColor="text1"/>
              </w:rPr>
              <w:t xml:space="preserve">, or request personalised support for their </w:t>
            </w:r>
            <w:proofErr w:type="gramStart"/>
            <w:r w:rsidRPr="00DE0744">
              <w:rPr>
                <w:color w:val="000000" w:themeColor="text1"/>
              </w:rPr>
              <w:t>particular health</w:t>
            </w:r>
            <w:proofErr w:type="gramEnd"/>
            <w:r w:rsidRPr="00DE0744">
              <w:rPr>
                <w:color w:val="000000" w:themeColor="text1"/>
              </w:rPr>
              <w:t xml:space="preserve"> or disability issues</w:t>
            </w:r>
          </w:p>
        </w:tc>
      </w:tr>
    </w:tbl>
    <w:p w14:paraId="7056AAD1" w14:textId="4A34D138" w:rsidR="00DE0744" w:rsidRPr="00DE0744" w:rsidRDefault="00DE0744" w:rsidP="00DE0744">
      <w:pPr>
        <w:spacing w:line="240" w:lineRule="auto"/>
        <w:ind w:left="0" w:hanging="2"/>
      </w:pPr>
    </w:p>
    <w:p w14:paraId="6706F778" w14:textId="77777777" w:rsidR="00DE0744" w:rsidRPr="00DE0744" w:rsidRDefault="00DE0744" w:rsidP="00DE0744">
      <w:pPr>
        <w:numPr>
          <w:ilvl w:val="0"/>
          <w:numId w:val="2"/>
        </w:numPr>
        <w:pBdr>
          <w:top w:val="nil"/>
          <w:left w:val="nil"/>
          <w:bottom w:val="nil"/>
          <w:right w:val="nil"/>
          <w:between w:val="nil"/>
        </w:pBdr>
        <w:spacing w:line="240" w:lineRule="auto"/>
        <w:ind w:left="0" w:hanging="2"/>
        <w:rPr>
          <w:color w:val="000000"/>
        </w:rPr>
      </w:pPr>
      <w:r w:rsidRPr="00DE0744">
        <w:rPr>
          <w:color w:val="000000" w:themeColor="text1"/>
        </w:rPr>
        <w:t>Where we collect and process special category personal data about you, we have identified the following conditions: Explicit consent</w:t>
      </w:r>
    </w:p>
    <w:p w14:paraId="1150AB09" w14:textId="77777777" w:rsidR="00DE0744" w:rsidRPr="00DE0744" w:rsidRDefault="00DE0744" w:rsidP="00DE0744">
      <w:pPr>
        <w:ind w:left="0" w:hanging="2"/>
      </w:pPr>
      <w:r w:rsidRPr="00DE0744">
        <w:rPr>
          <w:b/>
        </w:rPr>
        <w:t>Who has access to your personal data?</w:t>
      </w:r>
    </w:p>
    <w:p w14:paraId="5EBE3615"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Your personal data will only be shared internally or to third parties who have been appointed by the University to provide a specific service on behalf of the University in connection with online forms. In this instance, the third party is Microsoft, whose privacy controls are described </w:t>
      </w:r>
      <w:hyperlink r:id="rId9" w:history="1">
        <w:r w:rsidRPr="00DE0744">
          <w:rPr>
            <w:rStyle w:val="Hyperlink"/>
          </w:rPr>
          <w:t>here</w:t>
        </w:r>
      </w:hyperlink>
      <w:r w:rsidRPr="00DE0744">
        <w:rPr>
          <w:color w:val="000000"/>
        </w:rPr>
        <w:t>. Microsoft Forms data is encrypted both at rest and in transit.</w:t>
      </w:r>
    </w:p>
    <w:p w14:paraId="422DBE36"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We will share your personal data with third parties where required by law, where it is necessary to administer the University's relationship with you in connection with Microsoft Forms or where we have another legitimate interest in doing so. </w:t>
      </w:r>
    </w:p>
    <w:p w14:paraId="6FE6FDBF"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We may also share your personal data with third parties if we have a legal obligation to do so. </w:t>
      </w:r>
    </w:p>
    <w:p w14:paraId="0BA18A51"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We may share your personal data with third party service providers who act on our behalf such as IT services providers and our professional advisers.  Where it is necessary to do so, we may need to share your information with them, so that they can carry out the services we have requested.</w:t>
      </w:r>
    </w:p>
    <w:p w14:paraId="4F43F7B4" w14:textId="77777777" w:rsidR="00DE0744" w:rsidRPr="00DE0744" w:rsidRDefault="00DE0744" w:rsidP="00DE0744">
      <w:pPr>
        <w:ind w:left="0" w:hanging="2"/>
      </w:pPr>
      <w:r w:rsidRPr="00DE0744">
        <w:rPr>
          <w:b/>
        </w:rPr>
        <w:t>Transfer of Data to Other Countries</w:t>
      </w:r>
    </w:p>
    <w:p w14:paraId="7D8289A8"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Occasionally the University may be required to share your personal data with organisations either based in the UK/European Union (EU), or in countries outside the EU that have equivalent levels of protection.  These transfers of data are usually necessary </w:t>
      </w:r>
      <w:proofErr w:type="gramStart"/>
      <w:r w:rsidRPr="00DE0744">
        <w:rPr>
          <w:color w:val="000000"/>
        </w:rPr>
        <w:t>in order to</w:t>
      </w:r>
      <w:proofErr w:type="gramEnd"/>
      <w:r w:rsidRPr="00DE0744">
        <w:rPr>
          <w:color w:val="000000"/>
        </w:rPr>
        <w:t xml:space="preserve"> meet contractual responsibilities with you (such as the provision of Library services) and would only happen once we were assured that the appropriate safeguards were in place. Microsoft’s arrangements for data storage and transfer are described </w:t>
      </w:r>
      <w:hyperlink r:id="rId10" w:history="1">
        <w:r w:rsidRPr="00DE0744">
          <w:rPr>
            <w:rStyle w:val="Hyperlink"/>
          </w:rPr>
          <w:t>here</w:t>
        </w:r>
      </w:hyperlink>
      <w:r w:rsidRPr="00DE0744">
        <w:rPr>
          <w:color w:val="000000"/>
        </w:rPr>
        <w:t>.</w:t>
      </w:r>
    </w:p>
    <w:p w14:paraId="13E7E6FF" w14:textId="77777777" w:rsidR="00DE0744" w:rsidRPr="00DE0744" w:rsidRDefault="00DE0744" w:rsidP="00DE0744">
      <w:pPr>
        <w:pBdr>
          <w:top w:val="nil"/>
          <w:left w:val="nil"/>
          <w:bottom w:val="nil"/>
          <w:right w:val="nil"/>
          <w:between w:val="nil"/>
        </w:pBdr>
        <w:spacing w:line="240" w:lineRule="auto"/>
        <w:ind w:left="0" w:hanging="2"/>
        <w:rPr>
          <w:color w:val="000000"/>
        </w:rPr>
      </w:pPr>
      <w:r w:rsidRPr="00DE0744">
        <w:rPr>
          <w:b/>
          <w:color w:val="000000"/>
        </w:rPr>
        <w:t>Information Security and Retention Period</w:t>
      </w:r>
    </w:p>
    <w:p w14:paraId="42958CF1"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Your personal data is collected and stored in line with relevant Data Protection </w:t>
      </w:r>
      <w:proofErr w:type="gramStart"/>
      <w:r w:rsidRPr="00DE0744">
        <w:rPr>
          <w:color w:val="000000"/>
        </w:rPr>
        <w:t>law, and</w:t>
      </w:r>
      <w:proofErr w:type="gramEnd"/>
      <w:r w:rsidRPr="00DE0744">
        <w:rPr>
          <w:color w:val="000000"/>
        </w:rPr>
        <w:t xml:space="preserve"> is stored securely using processes and systems that comply with the University's strict information security and Data Protection principles. </w:t>
      </w:r>
    </w:p>
    <w:p w14:paraId="7E4CDE40"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We will only keep the information that you provide for as long as is necessary for the purpose for which it is processed and in accordance with relevant legislation. This is because </w:t>
      </w:r>
      <w:r w:rsidRPr="00DE0744">
        <w:rPr>
          <w:color w:val="000000" w:themeColor="text1"/>
        </w:rPr>
        <w:t xml:space="preserve">we may need your personal information (as provided through an online Microsoft form) </w:t>
      </w:r>
      <w:proofErr w:type="gramStart"/>
      <w:r w:rsidRPr="00DE0744">
        <w:rPr>
          <w:color w:val="000000" w:themeColor="text1"/>
        </w:rPr>
        <w:t>in order to</w:t>
      </w:r>
      <w:proofErr w:type="gramEnd"/>
      <w:r w:rsidRPr="00DE0744">
        <w:rPr>
          <w:color w:val="000000" w:themeColor="text1"/>
        </w:rPr>
        <w:t xml:space="preserve"> provide you with Library services, record the transfer of rights to the University for your intellectual </w:t>
      </w:r>
      <w:r w:rsidRPr="00DE0744">
        <w:rPr>
          <w:color w:val="000000" w:themeColor="text1"/>
        </w:rPr>
        <w:lastRenderedPageBreak/>
        <w:t>property, or contact you about a request or suggestion you have made</w:t>
      </w:r>
      <w:r w:rsidRPr="00DE0744">
        <w:rPr>
          <w:color w:val="000000"/>
        </w:rPr>
        <w:t xml:space="preserve">. We will then dispose of your information </w:t>
      </w:r>
      <w:r w:rsidRPr="00DE0744">
        <w:rPr>
          <w:color w:val="000000" w:themeColor="text1"/>
        </w:rPr>
        <w:t>once it is no longer needed</w:t>
      </w:r>
      <w:r w:rsidRPr="00DE0744">
        <w:rPr>
          <w:color w:val="000000"/>
          <w:vertAlign w:val="superscript"/>
        </w:rPr>
        <w:footnoteReference w:id="2"/>
      </w:r>
      <w:r w:rsidRPr="00DE0744">
        <w:rPr>
          <w:color w:val="000000" w:themeColor="text1"/>
        </w:rPr>
        <w:t xml:space="preserve">. Microsoft’s data retention policies are described </w:t>
      </w:r>
      <w:hyperlink r:id="rId11" w:history="1">
        <w:r w:rsidRPr="00DE0744">
          <w:rPr>
            <w:rStyle w:val="Hyperlink"/>
          </w:rPr>
          <w:t>here</w:t>
        </w:r>
      </w:hyperlink>
      <w:r w:rsidRPr="00DE0744">
        <w:rPr>
          <w:color w:val="000000" w:themeColor="text1"/>
        </w:rPr>
        <w:t>.</w:t>
      </w:r>
    </w:p>
    <w:p w14:paraId="65F7423F" w14:textId="77777777" w:rsidR="00DE0744" w:rsidRPr="00DE0744" w:rsidRDefault="00DE0744" w:rsidP="00DE0744">
      <w:pPr>
        <w:pBdr>
          <w:top w:val="nil"/>
          <w:left w:val="nil"/>
          <w:bottom w:val="nil"/>
          <w:right w:val="nil"/>
          <w:between w:val="nil"/>
        </w:pBdr>
        <w:spacing w:line="240" w:lineRule="auto"/>
        <w:ind w:left="0" w:hanging="2"/>
        <w:rPr>
          <w:color w:val="000000"/>
        </w:rPr>
      </w:pPr>
      <w:r w:rsidRPr="00DE0744">
        <w:rPr>
          <w:b/>
          <w:color w:val="000000"/>
        </w:rPr>
        <w:t>Automated Decision Making</w:t>
      </w:r>
    </w:p>
    <w:p w14:paraId="59B5549C"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Information collected will not be used for automated decision-making or profiling individuals.</w:t>
      </w:r>
    </w:p>
    <w:p w14:paraId="1C7BC9D4" w14:textId="77777777" w:rsidR="00DE0744" w:rsidRPr="00DE0744" w:rsidRDefault="00DE0744" w:rsidP="00DE0744">
      <w:pPr>
        <w:ind w:left="0" w:hanging="2"/>
      </w:pPr>
      <w:r w:rsidRPr="00DE0744">
        <w:rPr>
          <w:b/>
        </w:rPr>
        <w:t>Your rights</w:t>
      </w:r>
    </w:p>
    <w:p w14:paraId="53FA85BC"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You have various rights in relation to your information, including:</w:t>
      </w:r>
    </w:p>
    <w:p w14:paraId="4CE94E38" w14:textId="77777777" w:rsidR="00DE0744" w:rsidRPr="00DE0744" w:rsidRDefault="00DE0744" w:rsidP="00DE0744">
      <w:pPr>
        <w:numPr>
          <w:ilvl w:val="1"/>
          <w:numId w:val="1"/>
        </w:numPr>
        <w:pBdr>
          <w:top w:val="nil"/>
          <w:left w:val="nil"/>
          <w:bottom w:val="nil"/>
          <w:right w:val="nil"/>
          <w:between w:val="nil"/>
        </w:pBdr>
        <w:spacing w:line="240" w:lineRule="auto"/>
        <w:ind w:left="0" w:hanging="2"/>
        <w:rPr>
          <w:color w:val="000000"/>
        </w:rPr>
      </w:pPr>
      <w:r w:rsidRPr="00DE0744">
        <w:rPr>
          <w:color w:val="000000"/>
        </w:rPr>
        <w:t xml:space="preserve">The right to access the information we </w:t>
      </w:r>
      <w:proofErr w:type="gramStart"/>
      <w:r w:rsidRPr="00DE0744">
        <w:rPr>
          <w:color w:val="000000"/>
        </w:rPr>
        <w:t>hold;</w:t>
      </w:r>
      <w:proofErr w:type="gramEnd"/>
    </w:p>
    <w:p w14:paraId="2D6A9AC7" w14:textId="77777777" w:rsidR="00DE0744" w:rsidRPr="00DE0744" w:rsidRDefault="00DE0744" w:rsidP="00DE0744">
      <w:pPr>
        <w:numPr>
          <w:ilvl w:val="1"/>
          <w:numId w:val="1"/>
        </w:numPr>
        <w:pBdr>
          <w:top w:val="nil"/>
          <w:left w:val="nil"/>
          <w:bottom w:val="nil"/>
          <w:right w:val="nil"/>
          <w:between w:val="nil"/>
        </w:pBdr>
        <w:spacing w:line="240" w:lineRule="auto"/>
        <w:ind w:left="0" w:hanging="2"/>
        <w:rPr>
          <w:color w:val="000000"/>
        </w:rPr>
      </w:pPr>
      <w:r w:rsidRPr="00DE0744">
        <w:rPr>
          <w:color w:val="000000"/>
        </w:rPr>
        <w:t xml:space="preserve">The right to request rectification or erasure of the information that we </w:t>
      </w:r>
      <w:proofErr w:type="gramStart"/>
      <w:r w:rsidRPr="00DE0744">
        <w:rPr>
          <w:color w:val="000000"/>
        </w:rPr>
        <w:t>hold;</w:t>
      </w:r>
      <w:proofErr w:type="gramEnd"/>
    </w:p>
    <w:p w14:paraId="6DC0955D" w14:textId="77777777" w:rsidR="00DE0744" w:rsidRPr="00DE0744" w:rsidRDefault="00DE0744" w:rsidP="00DE0744">
      <w:pPr>
        <w:numPr>
          <w:ilvl w:val="1"/>
          <w:numId w:val="1"/>
        </w:numPr>
        <w:pBdr>
          <w:top w:val="nil"/>
          <w:left w:val="nil"/>
          <w:bottom w:val="nil"/>
          <w:right w:val="nil"/>
          <w:between w:val="nil"/>
        </w:pBdr>
        <w:spacing w:line="240" w:lineRule="auto"/>
        <w:ind w:left="0" w:hanging="2"/>
        <w:rPr>
          <w:color w:val="000000"/>
        </w:rPr>
      </w:pPr>
      <w:r w:rsidRPr="00DE0744">
        <w:rPr>
          <w:color w:val="000000"/>
        </w:rPr>
        <w:t xml:space="preserve">The right to request that we restrict what we are doing with your </w:t>
      </w:r>
      <w:proofErr w:type="gramStart"/>
      <w:r w:rsidRPr="00DE0744">
        <w:rPr>
          <w:color w:val="000000"/>
        </w:rPr>
        <w:t>information;</w:t>
      </w:r>
      <w:proofErr w:type="gramEnd"/>
    </w:p>
    <w:p w14:paraId="102EFF28" w14:textId="77777777" w:rsidR="00DE0744" w:rsidRPr="00DE0744" w:rsidRDefault="00DE0744" w:rsidP="00DE0744">
      <w:pPr>
        <w:numPr>
          <w:ilvl w:val="1"/>
          <w:numId w:val="1"/>
        </w:numPr>
        <w:pBdr>
          <w:top w:val="nil"/>
          <w:left w:val="nil"/>
          <w:bottom w:val="nil"/>
          <w:right w:val="nil"/>
          <w:between w:val="nil"/>
        </w:pBdr>
        <w:spacing w:line="240" w:lineRule="auto"/>
        <w:ind w:left="0" w:hanging="2"/>
        <w:rPr>
          <w:color w:val="000000"/>
        </w:rPr>
      </w:pPr>
      <w:r w:rsidRPr="00DE0744">
        <w:rPr>
          <w:color w:val="000000"/>
        </w:rPr>
        <w:t>The right to object to what we are doing; and</w:t>
      </w:r>
    </w:p>
    <w:p w14:paraId="75FF6A6F" w14:textId="77777777" w:rsidR="00DE0744" w:rsidRPr="00DE0744" w:rsidRDefault="00DE0744" w:rsidP="00DE0744">
      <w:pPr>
        <w:numPr>
          <w:ilvl w:val="1"/>
          <w:numId w:val="1"/>
        </w:numPr>
        <w:pBdr>
          <w:top w:val="nil"/>
          <w:left w:val="nil"/>
          <w:bottom w:val="nil"/>
          <w:right w:val="nil"/>
          <w:between w:val="nil"/>
        </w:pBdr>
        <w:spacing w:line="240" w:lineRule="auto"/>
        <w:ind w:left="0" w:hanging="2"/>
        <w:rPr>
          <w:color w:val="000000"/>
        </w:rPr>
      </w:pPr>
      <w:r w:rsidRPr="00DE0744">
        <w:rPr>
          <w:color w:val="000000"/>
        </w:rPr>
        <w:t xml:space="preserve">The right to request your information in a portable format. </w:t>
      </w:r>
    </w:p>
    <w:p w14:paraId="62A31A69"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Please note that some of these rights may not apply to the information that we hold about you, and we may need to collect some form of proof of identity before acting on your request. </w:t>
      </w:r>
    </w:p>
    <w:p w14:paraId="2639122D"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Where we have relied upon your consent to process your information, you also have the right to withdraw your consent at any time.</w:t>
      </w:r>
    </w:p>
    <w:p w14:paraId="767B0EA1"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If you would like to exercise any of these rights, or have any other questions about this Notice, please contact the University's Information Compliance Team at </w:t>
      </w:r>
      <w:hyperlink r:id="rId12">
        <w:r w:rsidRPr="00DE0744">
          <w:rPr>
            <w:color w:val="E31B23"/>
          </w:rPr>
          <w:t>data-protection@bathspa.ac.uk</w:t>
        </w:r>
      </w:hyperlink>
      <w:r w:rsidRPr="00DE0744">
        <w:rPr>
          <w:color w:val="000000"/>
        </w:rPr>
        <w:t xml:space="preserve">. </w:t>
      </w:r>
    </w:p>
    <w:p w14:paraId="69ED1EDC" w14:textId="77777777" w:rsidR="00DE0744" w:rsidRPr="00DE0744" w:rsidRDefault="00DE0744" w:rsidP="00DE0744">
      <w:pPr>
        <w:numPr>
          <w:ilvl w:val="0"/>
          <w:numId w:val="1"/>
        </w:numPr>
        <w:pBdr>
          <w:top w:val="nil"/>
          <w:left w:val="nil"/>
          <w:bottom w:val="nil"/>
          <w:right w:val="nil"/>
          <w:between w:val="nil"/>
        </w:pBdr>
        <w:spacing w:line="240" w:lineRule="auto"/>
        <w:ind w:left="0" w:hanging="2"/>
        <w:rPr>
          <w:color w:val="000000"/>
        </w:rPr>
      </w:pPr>
      <w:r w:rsidRPr="00DE0744">
        <w:rPr>
          <w:color w:val="000000"/>
        </w:rPr>
        <w:t xml:space="preserve">You also have the right to make a complaint to the Information Commissioner’s Office about how we use your information, although we would ask that you get in touch with us first in order that we can try to put things right.  How to contact the Information Commissioner's Office can be found at </w:t>
      </w:r>
      <w:hyperlink r:id="rId13">
        <w:r w:rsidRPr="00DE0744">
          <w:rPr>
            <w:color w:val="E31B23"/>
          </w:rPr>
          <w:t>https://ico.org.uk/concerns/</w:t>
        </w:r>
      </w:hyperlink>
      <w:r w:rsidRPr="00DE0744">
        <w:rPr>
          <w:color w:val="000000"/>
        </w:rPr>
        <w:t xml:space="preserve">.  </w:t>
      </w:r>
    </w:p>
    <w:p w14:paraId="48C5DF2C" w14:textId="77777777" w:rsidR="00DE0744" w:rsidRDefault="00DE0744" w:rsidP="00DE0744">
      <w:pPr>
        <w:spacing w:before="280" w:after="280"/>
        <w:ind w:left="0" w:hanging="2"/>
        <w:rPr>
          <w:rFonts w:ascii="Arial" w:eastAsia="Arial" w:hAnsi="Arial" w:cs="Arial"/>
          <w:sz w:val="24"/>
          <w:szCs w:val="24"/>
        </w:rPr>
      </w:pPr>
    </w:p>
    <w:p w14:paraId="6A0F817C" w14:textId="77777777" w:rsidR="00DE0744" w:rsidRDefault="00DE0744" w:rsidP="00DE0744">
      <w:pPr>
        <w:ind w:left="0" w:hanging="2"/>
      </w:pPr>
    </w:p>
    <w:p w14:paraId="6FE75E77" w14:textId="77777777" w:rsidR="00DE0744" w:rsidRDefault="00DE0744" w:rsidP="00DE0744">
      <w:pPr>
        <w:ind w:left="0" w:hanging="2"/>
      </w:pPr>
    </w:p>
    <w:p w14:paraId="75E4D4D2" w14:textId="77777777" w:rsidR="00CB7213" w:rsidRDefault="00CB7213">
      <w:pPr>
        <w:ind w:left="0" w:hanging="2"/>
      </w:pPr>
    </w:p>
    <w:sectPr w:rsidR="00CB7213" w:rsidSect="00DE0744">
      <w:headerReference w:type="even" r:id="rId14"/>
      <w:headerReference w:type="default" r:id="rId15"/>
      <w:headerReference w:type="first" r:id="rId16"/>
      <w:footerReference w:type="first" r:id="rId17"/>
      <w:pgSz w:w="11907" w:h="16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14B4" w14:textId="77777777" w:rsidR="00427148" w:rsidRDefault="00427148" w:rsidP="00DE0744">
      <w:pPr>
        <w:spacing w:after="0" w:line="240" w:lineRule="auto"/>
        <w:ind w:left="0" w:hanging="2"/>
      </w:pPr>
      <w:r>
        <w:separator/>
      </w:r>
    </w:p>
  </w:endnote>
  <w:endnote w:type="continuationSeparator" w:id="0">
    <w:p w14:paraId="7DC61594" w14:textId="77777777" w:rsidR="00427148" w:rsidRDefault="00427148" w:rsidP="00DE0744">
      <w:pPr>
        <w:spacing w:after="0" w:line="240" w:lineRule="auto"/>
        <w:ind w:left="0" w:hanging="2"/>
      </w:pPr>
      <w:r>
        <w:continuationSeparator/>
      </w:r>
    </w:p>
  </w:endnote>
  <w:endnote w:type="continuationNotice" w:id="1">
    <w:p w14:paraId="5A32E075" w14:textId="77777777" w:rsidR="00427148" w:rsidRDefault="00427148">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A22C" w14:textId="77777777" w:rsidR="00DE0744" w:rsidRDefault="00DE0744" w:rsidP="002B2045">
    <w:pPr>
      <w:pBdr>
        <w:top w:val="nil"/>
        <w:left w:val="nil"/>
        <w:bottom w:val="nil"/>
        <w:right w:val="nil"/>
        <w:between w:val="nil"/>
      </w:pBdr>
      <w:spacing w:after="0" w:line="240" w:lineRule="auto"/>
      <w:ind w:leftChars="0" w:left="0" w:firstLineChars="0" w:firstLine="0"/>
      <w:rPr>
        <w:color w:val="000000"/>
        <w:sz w:val="12"/>
        <w:szCs w:val="12"/>
      </w:rPr>
    </w:pPr>
  </w:p>
  <w:p w14:paraId="23F134F9" w14:textId="77777777" w:rsidR="00DE0744" w:rsidRDefault="00DE0744">
    <w:pPr>
      <w:pBdr>
        <w:top w:val="nil"/>
        <w:left w:val="nil"/>
        <w:bottom w:val="nil"/>
        <w:right w:val="nil"/>
        <w:between w:val="nil"/>
      </w:pBdr>
      <w:spacing w:after="0" w:line="240" w:lineRule="auto"/>
      <w:rPr>
        <w:color w:val="000000"/>
        <w:sz w:val="12"/>
        <w:szCs w:val="12"/>
      </w:rPr>
    </w:pPr>
  </w:p>
  <w:p w14:paraId="7789F6C4" w14:textId="77777777" w:rsidR="00DE0744" w:rsidRDefault="00DE0744">
    <w:pPr>
      <w:pBdr>
        <w:top w:val="nil"/>
        <w:left w:val="nil"/>
        <w:bottom w:val="nil"/>
        <w:right w:val="nil"/>
        <w:between w:val="nil"/>
      </w:pBdr>
      <w:spacing w:after="0" w:line="240" w:lineRule="auto"/>
      <w:rPr>
        <w:color w:val="000000"/>
        <w:sz w:val="12"/>
        <w:szCs w:val="12"/>
      </w:rPr>
    </w:pPr>
  </w:p>
  <w:p w14:paraId="02CCB3E5" w14:textId="77777777" w:rsidR="00DE0744" w:rsidRDefault="00DE0744">
    <w:pPr>
      <w:pBdr>
        <w:top w:val="nil"/>
        <w:left w:val="nil"/>
        <w:bottom w:val="nil"/>
        <w:right w:val="nil"/>
        <w:between w:val="nil"/>
      </w:pBdr>
      <w:spacing w:after="0" w:line="240" w:lineRule="auto"/>
      <w:rPr>
        <w:color w:val="000000"/>
        <w:sz w:val="12"/>
        <w:szCs w:val="12"/>
      </w:rPr>
    </w:pPr>
  </w:p>
  <w:p w14:paraId="021E00E2" w14:textId="77777777" w:rsidR="00DE0744" w:rsidRDefault="00DE0744">
    <w:pPr>
      <w:pBdr>
        <w:top w:val="nil"/>
        <w:left w:val="nil"/>
        <w:bottom w:val="nil"/>
        <w:right w:val="nil"/>
        <w:between w:val="nil"/>
      </w:pBdr>
      <w:spacing w:after="0" w:line="240" w:lineRule="auto"/>
      <w:rPr>
        <w:color w:val="000000"/>
        <w:sz w:val="12"/>
        <w:szCs w:val="12"/>
      </w:rPr>
    </w:pPr>
  </w:p>
  <w:p w14:paraId="5414836B" w14:textId="77777777" w:rsidR="00DE0744" w:rsidRDefault="00DE0744">
    <w:pPr>
      <w:pBdr>
        <w:top w:val="nil"/>
        <w:left w:val="nil"/>
        <w:bottom w:val="nil"/>
        <w:right w:val="nil"/>
        <w:between w:val="nil"/>
      </w:pBdr>
      <w:spacing w:after="0" w:line="240" w:lineRule="auto"/>
      <w:rPr>
        <w:color w:val="000000"/>
        <w:sz w:val="12"/>
        <w:szCs w:val="12"/>
      </w:rPr>
    </w:pPr>
  </w:p>
  <w:p w14:paraId="32027BE1" w14:textId="77777777" w:rsidR="00DE0744" w:rsidRDefault="00DE0744">
    <w:pPr>
      <w:pBdr>
        <w:top w:val="nil"/>
        <w:left w:val="nil"/>
        <w:bottom w:val="nil"/>
        <w:right w:val="nil"/>
        <w:between w:val="nil"/>
      </w:pBdr>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B3B7" w14:textId="77777777" w:rsidR="00427148" w:rsidRDefault="00427148" w:rsidP="00DE0744">
      <w:pPr>
        <w:spacing w:after="0" w:line="240" w:lineRule="auto"/>
        <w:ind w:left="0" w:hanging="2"/>
      </w:pPr>
      <w:r>
        <w:separator/>
      </w:r>
    </w:p>
  </w:footnote>
  <w:footnote w:type="continuationSeparator" w:id="0">
    <w:p w14:paraId="173ED520" w14:textId="77777777" w:rsidR="00427148" w:rsidRDefault="00427148" w:rsidP="00DE0744">
      <w:pPr>
        <w:spacing w:after="0" w:line="240" w:lineRule="auto"/>
        <w:ind w:left="0" w:hanging="2"/>
      </w:pPr>
      <w:r>
        <w:continuationSeparator/>
      </w:r>
    </w:p>
  </w:footnote>
  <w:footnote w:type="continuationNotice" w:id="1">
    <w:p w14:paraId="1BE128D2" w14:textId="77777777" w:rsidR="00427148" w:rsidRDefault="00427148">
      <w:pPr>
        <w:spacing w:after="0" w:line="240" w:lineRule="auto"/>
        <w:ind w:left="0" w:hanging="2"/>
      </w:pPr>
    </w:p>
  </w:footnote>
  <w:footnote w:id="2">
    <w:p w14:paraId="1B078110" w14:textId="77777777" w:rsidR="00DE0744" w:rsidRDefault="00DE0744" w:rsidP="00DE0744">
      <w:pPr>
        <w:spacing w:after="0"/>
        <w:ind w:left="0" w:hanging="2"/>
        <w:rPr>
          <w:color w:val="7030A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245B" w14:textId="77777777" w:rsidR="00DE0744" w:rsidRDefault="00DE0744">
    <w:pPr>
      <w:pStyle w:val="Header"/>
      <w:ind w:left="0" w:hanging="2"/>
    </w:pPr>
    <w:r>
      <w:rPr>
        <w:noProof/>
      </w:rPr>
      <mc:AlternateContent>
        <mc:Choice Requires="wps">
          <w:drawing>
            <wp:anchor distT="0" distB="0" distL="0" distR="0" simplePos="0" relativeHeight="251658240" behindDoc="0" locked="0" layoutInCell="1" allowOverlap="1" wp14:anchorId="41808902" wp14:editId="7B14E92A">
              <wp:simplePos x="635" y="635"/>
              <wp:positionH relativeFrom="page">
                <wp:align>center</wp:align>
              </wp:positionH>
              <wp:positionV relativeFrom="page">
                <wp:align>top</wp:align>
              </wp:positionV>
              <wp:extent cx="443865" cy="443865"/>
              <wp:effectExtent l="0" t="0" r="9525" b="9525"/>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F0F51" w14:textId="77777777" w:rsidR="00DE0744" w:rsidRPr="004B5027" w:rsidRDefault="00DE0744" w:rsidP="004B5027">
                          <w:pPr>
                            <w:spacing w:after="0"/>
                            <w:ind w:left="0" w:hanging="2"/>
                            <w:rPr>
                              <w:noProof/>
                              <w:color w:val="000000"/>
                              <w:sz w:val="24"/>
                              <w:szCs w:val="24"/>
                            </w:rPr>
                          </w:pPr>
                          <w:r w:rsidRPr="004B5027">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08902"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EF0F51" w14:textId="77777777" w:rsidR="00DE0744" w:rsidRPr="004B5027" w:rsidRDefault="00DE0744" w:rsidP="004B5027">
                    <w:pPr>
                      <w:spacing w:after="0"/>
                      <w:ind w:left="0" w:hanging="2"/>
                      <w:rPr>
                        <w:noProof/>
                        <w:color w:val="000000"/>
                        <w:sz w:val="24"/>
                        <w:szCs w:val="24"/>
                      </w:rPr>
                    </w:pPr>
                    <w:r w:rsidRPr="004B5027">
                      <w:rPr>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C8EE" w14:textId="77777777" w:rsidR="00DE0744" w:rsidRDefault="00DE0744">
    <w:pPr>
      <w:pBdr>
        <w:top w:val="nil"/>
        <w:left w:val="nil"/>
        <w:bottom w:val="nil"/>
        <w:right w:val="nil"/>
        <w:between w:val="nil"/>
      </w:pBdr>
      <w:tabs>
        <w:tab w:val="right" w:pos="6930"/>
        <w:tab w:val="left" w:pos="7855"/>
      </w:tabs>
      <w:spacing w:after="0" w:line="240" w:lineRule="auto"/>
      <w:ind w:left="0" w:hanging="2"/>
      <w:jc w:val="right"/>
      <w:rPr>
        <w:color w:val="000000"/>
        <w:sz w:val="20"/>
        <w:szCs w:val="20"/>
      </w:rPr>
    </w:pPr>
    <w:r>
      <w:rPr>
        <w:noProof/>
        <w:color w:val="000000"/>
        <w:sz w:val="20"/>
        <w:szCs w:val="20"/>
      </w:rPr>
      <mc:AlternateContent>
        <mc:Choice Requires="wps">
          <w:drawing>
            <wp:anchor distT="0" distB="0" distL="0" distR="0" simplePos="0" relativeHeight="251658241" behindDoc="0" locked="0" layoutInCell="1" allowOverlap="1" wp14:anchorId="6C41EF7C" wp14:editId="388D525F">
              <wp:simplePos x="635" y="635"/>
              <wp:positionH relativeFrom="page">
                <wp:align>center</wp:align>
              </wp:positionH>
              <wp:positionV relativeFrom="page">
                <wp:align>top</wp:align>
              </wp:positionV>
              <wp:extent cx="443865" cy="443865"/>
              <wp:effectExtent l="0" t="0" r="9525" b="9525"/>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CB676" w14:textId="77777777" w:rsidR="00DE0744" w:rsidRPr="004B5027" w:rsidRDefault="00DE0744" w:rsidP="004B5027">
                          <w:pPr>
                            <w:spacing w:after="0"/>
                            <w:ind w:left="0" w:hanging="2"/>
                            <w:rPr>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1EF7C" id="_x0000_t202" coordsize="21600,21600" o:spt="202" path="m,l,21600r21600,l21600,xe">
              <v:stroke joinstyle="miter"/>
              <v:path gradientshapeok="t" o:connecttype="rect"/>
            </v:shapetype>
            <v:shape id="Text Box 4" o:spid="_x0000_s1027" type="#_x0000_t202" alt="Restricted - Other"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15CB676" w14:textId="77777777" w:rsidR="00DE0744" w:rsidRPr="004B5027" w:rsidRDefault="00DE0744" w:rsidP="004B5027">
                    <w:pPr>
                      <w:spacing w:after="0"/>
                      <w:ind w:left="0" w:hanging="2"/>
                      <w:rPr>
                        <w:noProof/>
                        <w:color w:val="000000"/>
                        <w:sz w:val="24"/>
                        <w:szCs w:val="24"/>
                      </w:rPr>
                    </w:pPr>
                  </w:p>
                </w:txbxContent>
              </v:textbox>
              <w10:wrap anchorx="page" anchory="page"/>
            </v:shape>
          </w:pict>
        </mc:Fallback>
      </mc:AlternateContent>
    </w:r>
    <w:r>
      <w:rPr>
        <w:color w:val="000000"/>
        <w:sz w:val="20"/>
        <w:szCs w:val="20"/>
      </w:rPr>
      <w:tab/>
      <w:t xml:space="preserve"> </w:t>
    </w:r>
  </w:p>
  <w:p w14:paraId="44453DAF" w14:textId="77777777" w:rsidR="00DE0744" w:rsidRDefault="00DE0744">
    <w:pPr>
      <w:pBdr>
        <w:top w:val="nil"/>
        <w:left w:val="nil"/>
        <w:bottom w:val="nil"/>
        <w:right w:val="nil"/>
        <w:between w:val="nil"/>
      </w:pBdr>
      <w:spacing w:line="240" w:lineRule="auto"/>
      <w:ind w:left="0"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24F8" w14:textId="77777777" w:rsidR="00DE0744" w:rsidRDefault="00DE074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57DFE"/>
    <w:multiLevelType w:val="multilevel"/>
    <w:tmpl w:val="FFFFFFFF"/>
    <w:lvl w:ilvl="0">
      <w:start w:val="1"/>
      <w:numFmt w:val="bullet"/>
      <w:pStyle w:val="ListBullet"/>
      <w:lvlText w:val="●"/>
      <w:lvlJc w:val="left"/>
      <w:pPr>
        <w:ind w:left="1440" w:hanging="360"/>
      </w:pPr>
      <w:rPr>
        <w:rFonts w:ascii="Noto Sans Symbols" w:eastAsia="Noto Sans Symbols" w:hAnsi="Noto Sans Symbols" w:cs="Noto Sans Symbols"/>
        <w:vertAlign w:val="baseline"/>
      </w:rPr>
    </w:lvl>
    <w:lvl w:ilvl="1">
      <w:start w:val="1"/>
      <w:numFmt w:val="bullet"/>
      <w:pStyle w:val="ListBullet2"/>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661F7AB2"/>
    <w:multiLevelType w:val="multilevel"/>
    <w:tmpl w:val="FFFFFFFF"/>
    <w:lvl w:ilvl="0">
      <w:start w:val="1"/>
      <w:numFmt w:val="decimal"/>
      <w:pStyle w:val="Appendix"/>
      <w:lvlText w:val="%1"/>
      <w:lvlJc w:val="left"/>
      <w:pPr>
        <w:ind w:left="720" w:hanging="720"/>
      </w:pPr>
      <w:rPr>
        <w:rFonts w:ascii="Calibri" w:eastAsia="Calibri" w:hAnsi="Calibri" w:cs="Calibri"/>
        <w:b w:val="0"/>
        <w:sz w:val="22"/>
        <w:szCs w:val="22"/>
        <w:vertAlign w:val="baseline"/>
      </w:rPr>
    </w:lvl>
    <w:lvl w:ilvl="1">
      <w:start w:val="1"/>
      <w:numFmt w:val="decimal"/>
      <w:lvlText w:val="%1.%2"/>
      <w:lvlJc w:val="left"/>
      <w:pPr>
        <w:ind w:left="1440" w:hanging="720"/>
      </w:pPr>
      <w:rPr>
        <w:rFonts w:ascii="Calibri" w:eastAsia="Calibri" w:hAnsi="Calibri" w:cs="Calibri"/>
        <w:b w:val="0"/>
        <w:sz w:val="22"/>
        <w:szCs w:val="22"/>
        <w:vertAlign w:val="baseline"/>
      </w:rPr>
    </w:lvl>
    <w:lvl w:ilvl="2">
      <w:start w:val="1"/>
      <w:numFmt w:val="decimal"/>
      <w:lvlText w:val="%1.%2.%3"/>
      <w:lvlJc w:val="left"/>
      <w:pPr>
        <w:ind w:left="2160" w:hanging="720"/>
      </w:pPr>
      <w:rPr>
        <w:rFonts w:ascii="Calibri" w:eastAsia="Calibri" w:hAnsi="Calibri" w:cs="Calibri"/>
        <w:b w:val="0"/>
        <w:sz w:val="22"/>
        <w:szCs w:val="22"/>
        <w:vertAlign w:val="baseline"/>
      </w:rPr>
    </w:lvl>
    <w:lvl w:ilvl="3">
      <w:start w:val="1"/>
      <w:numFmt w:val="lowerLetter"/>
      <w:lvlText w:val="(%4)"/>
      <w:lvlJc w:val="left"/>
      <w:pPr>
        <w:ind w:left="2880" w:hanging="720"/>
      </w:pPr>
      <w:rPr>
        <w:rFonts w:ascii="Calibri" w:eastAsia="Calibri" w:hAnsi="Calibri" w:cs="Calibri"/>
        <w:b w:val="0"/>
        <w:sz w:val="22"/>
        <w:szCs w:val="22"/>
        <w:vertAlign w:val="baseline"/>
      </w:rPr>
    </w:lvl>
    <w:lvl w:ilvl="4">
      <w:start w:val="1"/>
      <w:numFmt w:val="lowerRoman"/>
      <w:lvlText w:val="(%5)"/>
      <w:lvlJc w:val="left"/>
      <w:pPr>
        <w:ind w:left="3600" w:hanging="720"/>
      </w:pPr>
      <w:rPr>
        <w:rFonts w:ascii="Calibri" w:eastAsia="Calibri" w:hAnsi="Calibri" w:cs="Calibri"/>
        <w:b w:val="0"/>
        <w:sz w:val="22"/>
        <w:szCs w:val="22"/>
        <w:vertAlign w:val="baseline"/>
      </w:rPr>
    </w:lvl>
    <w:lvl w:ilvl="5">
      <w:start w:val="1"/>
      <w:numFmt w:val="upperRoman"/>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lowerLetter"/>
      <w:lvlText w:val="%8."/>
      <w:lvlJc w:val="left"/>
      <w:pPr>
        <w:ind w:left="5760" w:hanging="720"/>
      </w:pPr>
      <w:rPr>
        <w:vertAlign w:val="baseline"/>
      </w:rPr>
    </w:lvl>
    <w:lvl w:ilvl="8">
      <w:start w:val="1"/>
      <w:numFmt w:val="lowerRoman"/>
      <w:lvlText w:val="%9."/>
      <w:lvlJc w:val="left"/>
      <w:pPr>
        <w:ind w:left="6480" w:hanging="720"/>
      </w:pPr>
      <w:rPr>
        <w:vertAlign w:val="baseline"/>
      </w:rPr>
    </w:lvl>
  </w:abstractNum>
  <w:abstractNum w:abstractNumId="2" w15:restartNumberingAfterBreak="0">
    <w:nsid w:val="6D965CC3"/>
    <w:multiLevelType w:val="hybridMultilevel"/>
    <w:tmpl w:val="CCD48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8354156">
    <w:abstractNumId w:val="1"/>
  </w:num>
  <w:num w:numId="2" w16cid:durableId="83958732">
    <w:abstractNumId w:val="0"/>
  </w:num>
  <w:num w:numId="3" w16cid:durableId="1117018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44"/>
    <w:rsid w:val="00143E0D"/>
    <w:rsid w:val="00151697"/>
    <w:rsid w:val="00322096"/>
    <w:rsid w:val="00343845"/>
    <w:rsid w:val="0034391A"/>
    <w:rsid w:val="00427148"/>
    <w:rsid w:val="00461798"/>
    <w:rsid w:val="0058764F"/>
    <w:rsid w:val="00665B0C"/>
    <w:rsid w:val="00725908"/>
    <w:rsid w:val="008212AC"/>
    <w:rsid w:val="00A65F7D"/>
    <w:rsid w:val="00AE6E77"/>
    <w:rsid w:val="00C1223D"/>
    <w:rsid w:val="00C614A1"/>
    <w:rsid w:val="00CB2A02"/>
    <w:rsid w:val="00CB7213"/>
    <w:rsid w:val="00D47C2A"/>
    <w:rsid w:val="00DE0744"/>
    <w:rsid w:val="00FE47FE"/>
    <w:rsid w:val="148C6BA1"/>
    <w:rsid w:val="1D5E01BF"/>
    <w:rsid w:val="33BD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001"/>
  <w15:chartTrackingRefBased/>
  <w15:docId w15:val="{F4C5324F-E808-4AC0-B2B1-697C1AD6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44"/>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DE0744"/>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744"/>
    <w:rPr>
      <w:rFonts w:eastAsiaTheme="majorEastAsia" w:cstheme="majorBidi"/>
      <w:color w:val="272727" w:themeColor="text1" w:themeTint="D8"/>
    </w:rPr>
  </w:style>
  <w:style w:type="paragraph" w:styleId="Title">
    <w:name w:val="Title"/>
    <w:basedOn w:val="Normal"/>
    <w:next w:val="Normal"/>
    <w:link w:val="TitleChar"/>
    <w:uiPriority w:val="10"/>
    <w:qFormat/>
    <w:rsid w:val="00DE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744"/>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744"/>
    <w:pPr>
      <w:spacing w:before="160"/>
      <w:jc w:val="center"/>
    </w:pPr>
    <w:rPr>
      <w:i/>
      <w:iCs/>
      <w:color w:val="404040" w:themeColor="text1" w:themeTint="BF"/>
    </w:rPr>
  </w:style>
  <w:style w:type="character" w:customStyle="1" w:styleId="QuoteChar">
    <w:name w:val="Quote Char"/>
    <w:basedOn w:val="DefaultParagraphFont"/>
    <w:link w:val="Quote"/>
    <w:uiPriority w:val="29"/>
    <w:rsid w:val="00DE0744"/>
    <w:rPr>
      <w:i/>
      <w:iCs/>
      <w:color w:val="404040" w:themeColor="text1" w:themeTint="BF"/>
    </w:rPr>
  </w:style>
  <w:style w:type="paragraph" w:styleId="ListParagraph">
    <w:name w:val="List Paragraph"/>
    <w:basedOn w:val="Normal"/>
    <w:uiPriority w:val="34"/>
    <w:qFormat/>
    <w:rsid w:val="00DE0744"/>
    <w:pPr>
      <w:ind w:left="720"/>
      <w:contextualSpacing/>
    </w:pPr>
  </w:style>
  <w:style w:type="character" w:styleId="IntenseEmphasis">
    <w:name w:val="Intense Emphasis"/>
    <w:basedOn w:val="DefaultParagraphFont"/>
    <w:uiPriority w:val="21"/>
    <w:qFormat/>
    <w:rsid w:val="00DE0744"/>
    <w:rPr>
      <w:i/>
      <w:iCs/>
      <w:color w:val="0F4761" w:themeColor="accent1" w:themeShade="BF"/>
    </w:rPr>
  </w:style>
  <w:style w:type="paragraph" w:styleId="IntenseQuote">
    <w:name w:val="Intense Quote"/>
    <w:basedOn w:val="Normal"/>
    <w:next w:val="Normal"/>
    <w:link w:val="IntenseQuoteChar"/>
    <w:uiPriority w:val="30"/>
    <w:qFormat/>
    <w:rsid w:val="00DE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744"/>
    <w:rPr>
      <w:i/>
      <w:iCs/>
      <w:color w:val="0F4761" w:themeColor="accent1" w:themeShade="BF"/>
    </w:rPr>
  </w:style>
  <w:style w:type="character" w:styleId="IntenseReference">
    <w:name w:val="Intense Reference"/>
    <w:basedOn w:val="DefaultParagraphFont"/>
    <w:uiPriority w:val="32"/>
    <w:qFormat/>
    <w:rsid w:val="00DE0744"/>
    <w:rPr>
      <w:b/>
      <w:bCs/>
      <w:smallCaps/>
      <w:color w:val="0F4761" w:themeColor="accent1" w:themeShade="BF"/>
      <w:spacing w:val="5"/>
    </w:rPr>
  </w:style>
  <w:style w:type="paragraph" w:styleId="Header">
    <w:name w:val="header"/>
    <w:basedOn w:val="Normal"/>
    <w:link w:val="HeaderChar"/>
    <w:rsid w:val="00DE0744"/>
    <w:rPr>
      <w:sz w:val="20"/>
    </w:rPr>
  </w:style>
  <w:style w:type="character" w:customStyle="1" w:styleId="HeaderChar">
    <w:name w:val="Header Char"/>
    <w:basedOn w:val="DefaultParagraphFont"/>
    <w:link w:val="Header"/>
    <w:rsid w:val="00DE0744"/>
    <w:rPr>
      <w:rFonts w:ascii="Calibri" w:eastAsia="Calibri" w:hAnsi="Calibri" w:cs="Calibri"/>
      <w:kern w:val="0"/>
      <w:position w:val="-1"/>
      <w:sz w:val="20"/>
      <w:szCs w:val="22"/>
      <w14:ligatures w14:val="none"/>
    </w:rPr>
  </w:style>
  <w:style w:type="character" w:styleId="Hyperlink">
    <w:name w:val="Hyperlink"/>
    <w:rsid w:val="00DE0744"/>
    <w:rPr>
      <w:color w:val="E31B23"/>
      <w:w w:val="100"/>
      <w:position w:val="-1"/>
      <w:szCs w:val="22"/>
      <w:effect w:val="none"/>
      <w:vertAlign w:val="baseline"/>
      <w:cs w:val="0"/>
      <w:em w:val="none"/>
    </w:rPr>
  </w:style>
  <w:style w:type="paragraph" w:customStyle="1" w:styleId="Appendix">
    <w:name w:val="Appendix"/>
    <w:basedOn w:val="BodyText"/>
    <w:next w:val="BodyText"/>
    <w:rsid w:val="00DE0744"/>
    <w:pPr>
      <w:numPr>
        <w:numId w:val="1"/>
      </w:numPr>
      <w:tabs>
        <w:tab w:val="num" w:pos="360"/>
      </w:tabs>
      <w:spacing w:after="200"/>
      <w:ind w:left="-1" w:hanging="1440"/>
    </w:pPr>
    <w:rPr>
      <w:b/>
      <w:sz w:val="24"/>
    </w:rPr>
  </w:style>
  <w:style w:type="paragraph" w:styleId="ListBullet">
    <w:name w:val="List Bullet"/>
    <w:basedOn w:val="Normal"/>
    <w:rsid w:val="00DE0744"/>
    <w:pPr>
      <w:numPr>
        <w:numId w:val="2"/>
      </w:numPr>
      <w:spacing w:after="120"/>
      <w:ind w:left="-1" w:hanging="1"/>
    </w:pPr>
  </w:style>
  <w:style w:type="paragraph" w:styleId="ListBullet2">
    <w:name w:val="List Bullet 2"/>
    <w:basedOn w:val="Normal"/>
    <w:rsid w:val="00DE0744"/>
    <w:pPr>
      <w:numPr>
        <w:ilvl w:val="1"/>
        <w:numId w:val="2"/>
      </w:numPr>
      <w:spacing w:after="120"/>
      <w:ind w:left="-1" w:hanging="1"/>
    </w:pPr>
  </w:style>
  <w:style w:type="paragraph" w:styleId="BodyText">
    <w:name w:val="Body Text"/>
    <w:basedOn w:val="Normal"/>
    <w:link w:val="BodyTextChar"/>
    <w:uiPriority w:val="99"/>
    <w:semiHidden/>
    <w:unhideWhenUsed/>
    <w:rsid w:val="00DE0744"/>
    <w:pPr>
      <w:spacing w:after="120"/>
    </w:pPr>
  </w:style>
  <w:style w:type="character" w:customStyle="1" w:styleId="BodyTextChar">
    <w:name w:val="Body Text Char"/>
    <w:basedOn w:val="DefaultParagraphFont"/>
    <w:link w:val="BodyText"/>
    <w:uiPriority w:val="99"/>
    <w:semiHidden/>
    <w:rsid w:val="00DE0744"/>
    <w:rPr>
      <w:rFonts w:ascii="Calibri" w:eastAsia="Calibri" w:hAnsi="Calibri" w:cs="Calibri"/>
      <w:kern w:val="0"/>
      <w:position w:val="-1"/>
      <w:sz w:val="22"/>
      <w:szCs w:val="22"/>
      <w14:ligatures w14:val="none"/>
    </w:rPr>
  </w:style>
  <w:style w:type="paragraph" w:styleId="Footer">
    <w:name w:val="footer"/>
    <w:basedOn w:val="Normal"/>
    <w:link w:val="FooterChar"/>
    <w:uiPriority w:val="99"/>
    <w:semiHidden/>
    <w:unhideWhenUsed/>
    <w:rsid w:val="00AE6E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6E77"/>
    <w:rPr>
      <w:rFonts w:ascii="Calibri" w:eastAsia="Calibri" w:hAnsi="Calibri" w:cs="Calibri"/>
      <w:kern w:val="0"/>
      <w:position w:val="-1"/>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spa.ac.uk/about-us/governance/policies/" TargetMode="Externa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protection@bathspa.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microsoft.com/en-us/compliance/assurance/assurance-data-retention-deletion-and-destruction-over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icrosoft.com/en-gb/trust-center/privacy/data-lo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crosoft.com/en-us/priv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Taylor</dc:creator>
  <cp:keywords/>
  <dc:description/>
  <cp:lastModifiedBy>Emma Oliver</cp:lastModifiedBy>
  <cp:revision>4</cp:revision>
  <dcterms:created xsi:type="dcterms:W3CDTF">2025-04-14T13:36:00Z</dcterms:created>
  <dcterms:modified xsi:type="dcterms:W3CDTF">2025-04-17T15:20:00Z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2025-04-17T15:16:38Z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115ca3d1-4426-4416-ad6c-e2c9e0205257</vt:lpwstr>
  </property>
  <property fmtid="{D5CDD505-2E9C-101B-9397-08002B2CF9AE}" pid="8" name="MSIP_Label_265970e0-98ad-4fed-a872-69f84c2d4b53_ContentBits">
    <vt:lpwstr>0</vt:lpwstr>
  </property>
  <property fmtid="{D5CDD505-2E9C-101B-9397-08002B2CF9AE}" pid="9" name="MSIP_Label_265970e0-98ad-4fed-a872-69f84c2d4b53_Tag">
    <vt:lpwstr>10, 0, 1, 1</vt:lpwstr>
  </property>
</Properties>
</file>